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D5" w:rsidRPr="00DD0084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 xml:space="preserve">ATA DE REGISTRO DE PREÇOS Nº </w:t>
      </w:r>
      <w:r w:rsidR="00946607" w:rsidRPr="00DD0084">
        <w:rPr>
          <w:rFonts w:ascii="Arial" w:hAnsi="Arial" w:cs="Arial"/>
          <w:b/>
          <w:sz w:val="20"/>
          <w:szCs w:val="20"/>
        </w:rPr>
        <w:t>034/2017</w:t>
      </w:r>
    </w:p>
    <w:p w:rsidR="006D03D5" w:rsidRPr="00DD0084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PROCESSO LICITATÓRIO N.º 023/2017</w:t>
      </w:r>
    </w:p>
    <w:p w:rsidR="006D03D5" w:rsidRPr="00DD0084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PREGÃO N</w:t>
      </w:r>
      <w:r w:rsidRPr="00DD0084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DD0084">
        <w:rPr>
          <w:rFonts w:ascii="Arial" w:hAnsi="Arial" w:cs="Arial"/>
          <w:b/>
          <w:sz w:val="20"/>
          <w:szCs w:val="20"/>
        </w:rPr>
        <w:t xml:space="preserve"> 023/2017</w:t>
      </w:r>
    </w:p>
    <w:p w:rsidR="006D03D5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Aos </w:t>
      </w:r>
      <w:r w:rsidR="00946607">
        <w:rPr>
          <w:rFonts w:ascii="Arial" w:hAnsi="Arial" w:cs="Arial"/>
          <w:sz w:val="20"/>
          <w:szCs w:val="20"/>
        </w:rPr>
        <w:t>trinta</w:t>
      </w:r>
      <w:r>
        <w:rPr>
          <w:rFonts w:ascii="Arial" w:hAnsi="Arial" w:cs="Arial"/>
          <w:sz w:val="20"/>
          <w:szCs w:val="20"/>
        </w:rPr>
        <w:t xml:space="preserve"> dias do mês de </w:t>
      </w:r>
      <w:r w:rsidR="00946607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do ano de dois mil e </w:t>
      </w:r>
      <w:r w:rsidR="00A272EF">
        <w:rPr>
          <w:rFonts w:ascii="Arial" w:hAnsi="Arial" w:cs="Arial"/>
          <w:sz w:val="20"/>
          <w:szCs w:val="20"/>
        </w:rPr>
        <w:t>dezessete</w:t>
      </w:r>
      <w:r>
        <w:rPr>
          <w:rFonts w:ascii="Arial" w:hAnsi="Arial" w:cs="Arial"/>
          <w:sz w:val="20"/>
          <w:szCs w:val="20"/>
        </w:rPr>
        <w:t xml:space="preserve">, na Sede da Prefeitura Municipal de </w:t>
      </w:r>
      <w:r w:rsidR="00A272EF">
        <w:rPr>
          <w:rFonts w:ascii="Arial" w:hAnsi="Arial" w:cs="Arial"/>
          <w:sz w:val="20"/>
          <w:szCs w:val="20"/>
        </w:rPr>
        <w:t>Papanduva - SC</w:t>
      </w:r>
      <w:r>
        <w:rPr>
          <w:rFonts w:ascii="Arial" w:hAnsi="Arial" w:cs="Arial"/>
          <w:sz w:val="20"/>
          <w:szCs w:val="20"/>
        </w:rPr>
        <w:t xml:space="preserve">, Departamento de Compras e Licitações, em face da classificação das propostas apresentadas no </w:t>
      </w:r>
      <w:r>
        <w:rPr>
          <w:rFonts w:ascii="Arial" w:hAnsi="Arial" w:cs="Arial"/>
          <w:bCs/>
          <w:sz w:val="20"/>
          <w:szCs w:val="20"/>
        </w:rPr>
        <w:t>Pregão Presencial n° 023/2017</w:t>
      </w:r>
      <w:r w:rsidR="00E15CB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Registro  de  Preços,  na  Ata  de  julgamento  de  preços,  homologada  em  </w:t>
      </w:r>
      <w:r w:rsidR="00A272EF">
        <w:rPr>
          <w:rFonts w:ascii="Arial" w:hAnsi="Arial" w:cs="Arial"/>
          <w:sz w:val="20"/>
          <w:szCs w:val="20"/>
        </w:rPr>
        <w:t>30/03/2017</w:t>
      </w:r>
      <w:r>
        <w:rPr>
          <w:rFonts w:ascii="Arial" w:hAnsi="Arial" w:cs="Arial"/>
          <w:sz w:val="20"/>
          <w:szCs w:val="20"/>
        </w:rPr>
        <w:t>, RESOLVE  registrar  os  pre</w:t>
      </w:r>
      <w:r w:rsidR="00E15CB5">
        <w:rPr>
          <w:rFonts w:ascii="Arial" w:hAnsi="Arial" w:cs="Arial"/>
          <w:sz w:val="20"/>
          <w:szCs w:val="20"/>
        </w:rPr>
        <w:t>ços  das</w:t>
      </w:r>
      <w:r>
        <w:rPr>
          <w:rFonts w:ascii="Arial" w:hAnsi="Arial" w:cs="Arial"/>
          <w:sz w:val="20"/>
          <w:szCs w:val="20"/>
        </w:rPr>
        <w:t xml:space="preserve">  empresas,  nas  quantidades  estimadas,  de  acordo  com  a  classificação por  ela</w:t>
      </w:r>
      <w:r w:rsidR="00E15C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alcançada</w:t>
      </w:r>
      <w:r w:rsidR="00E15CB5"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z w:val="20"/>
          <w:szCs w:val="20"/>
        </w:rPr>
        <w:t xml:space="preserve">  atendendo  as  condições  previstas  no  Edital  de  Licitação  e  seus  Anexos. </w:t>
      </w: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CLÁUSULA PRIMEIRA – DO OBJETO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– A presente Ata tem por objeto o Registro de Preços, vis</w:t>
      </w:r>
      <w:r w:rsidR="00A272EF">
        <w:rPr>
          <w:rFonts w:ascii="Arial" w:hAnsi="Arial" w:cs="Arial"/>
          <w:sz w:val="20"/>
          <w:szCs w:val="20"/>
          <w:shd w:val="clear" w:color="auto" w:fill="FFFFFF"/>
        </w:rPr>
        <w:t>ando a Aquisição de Alimentação especial para compor o benefício eventual da Secretaria Municipal de Saúde</w:t>
      </w:r>
      <w:r>
        <w:rPr>
          <w:rFonts w:ascii="Arial" w:hAnsi="Arial" w:cs="Arial"/>
          <w:sz w:val="20"/>
          <w:szCs w:val="20"/>
          <w:shd w:val="clear" w:color="auto" w:fill="FFFFFF"/>
        </w:rPr>
        <w:t>, conforme especificações constantes no Anexo I do Edital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Pregão Presencial n° 023/2017.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– As proponentes registradas para o</w:t>
      </w:r>
      <w:r w:rsidR="00E15C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fornecim</w:t>
      </w:r>
      <w:r w:rsidR="00F273A2">
        <w:rPr>
          <w:rFonts w:ascii="Arial" w:hAnsi="Arial" w:cs="Arial"/>
          <w:sz w:val="20"/>
          <w:szCs w:val="20"/>
        </w:rPr>
        <w:t>ento</w:t>
      </w:r>
      <w:r w:rsidR="00E15CB5">
        <w:rPr>
          <w:rFonts w:ascii="Arial" w:hAnsi="Arial" w:cs="Arial"/>
          <w:sz w:val="20"/>
          <w:szCs w:val="20"/>
        </w:rPr>
        <w:t>s</w:t>
      </w:r>
      <w:r w:rsidR="00F273A2">
        <w:rPr>
          <w:rFonts w:ascii="Arial" w:hAnsi="Arial" w:cs="Arial"/>
          <w:sz w:val="20"/>
          <w:szCs w:val="20"/>
        </w:rPr>
        <w:t xml:space="preserve"> cotados são as seguintes:</w:t>
      </w:r>
    </w:p>
    <w:p w:rsidR="00F273A2" w:rsidRDefault="00F273A2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Bruthan Comercial LTDA, CNPJ: 02.625.813/0001-00 - Edu Mansur Godinho;</w:t>
      </w:r>
    </w:p>
    <w:p w:rsidR="00F273A2" w:rsidRDefault="00F273A2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Papelaria São Bento LTDA – EPP – Charles Gilson Ritzmann.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 – O fornecimento dos itens licitados somente </w:t>
      </w:r>
      <w:r w:rsidR="00F273A2">
        <w:rPr>
          <w:rFonts w:ascii="Arial" w:hAnsi="Arial" w:cs="Arial"/>
          <w:sz w:val="20"/>
          <w:szCs w:val="20"/>
        </w:rPr>
        <w:t>será realizado</w:t>
      </w:r>
      <w:r>
        <w:rPr>
          <w:rFonts w:ascii="Arial" w:hAnsi="Arial" w:cs="Arial"/>
          <w:sz w:val="20"/>
          <w:szCs w:val="20"/>
        </w:rPr>
        <w:t xml:space="preserve"> pelas empresas que assinaram a Ata de Registro de Preços, mediante pr</w:t>
      </w:r>
      <w:r w:rsidR="00F273A2">
        <w:rPr>
          <w:rFonts w:ascii="Arial" w:hAnsi="Arial" w:cs="Arial"/>
          <w:sz w:val="20"/>
          <w:szCs w:val="20"/>
        </w:rPr>
        <w:t>évia e expressa autorização da M</w:t>
      </w:r>
      <w:r>
        <w:rPr>
          <w:rFonts w:ascii="Arial" w:hAnsi="Arial" w:cs="Arial"/>
          <w:sz w:val="20"/>
          <w:szCs w:val="20"/>
        </w:rPr>
        <w:t>unicipalidade.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1.4 - No caso de impossibilidade na execução do objeto licitado pelo primeiro classificado, a municipalidade poderá chamar o segundo classificado, pelo preço proposto do 1° colocado, para fornecimento deste material e assim sucessivamente.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0084">
        <w:rPr>
          <w:rFonts w:ascii="Arial" w:hAnsi="Arial" w:cs="Arial"/>
          <w:b/>
          <w:bCs/>
          <w:sz w:val="20"/>
          <w:szCs w:val="20"/>
        </w:rPr>
        <w:t>CLÁUSULA SEGUNDA –</w:t>
      </w:r>
      <w:r w:rsidR="00DD0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084">
        <w:rPr>
          <w:rFonts w:ascii="Arial" w:hAnsi="Arial" w:cs="Arial"/>
          <w:b/>
          <w:bCs/>
          <w:sz w:val="20"/>
          <w:szCs w:val="20"/>
        </w:rPr>
        <w:t>DO PREÇO</w:t>
      </w: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2.1- </w:t>
      </w:r>
      <w:r w:rsidR="00426BE7">
        <w:rPr>
          <w:rFonts w:ascii="Arial" w:hAnsi="Arial" w:cs="Arial"/>
          <w:bCs/>
          <w:sz w:val="20"/>
          <w:szCs w:val="20"/>
        </w:rPr>
        <w:t>O Preço unitário para fornecimento do objeto de registro será o de menor preço unitário, inscrito na Ata do Processo e Licitação descritos acima e de acordo com a ordem de classificação das respectivas propostas que integram este instrumento, independente de transcrição, pelo prazo de validade do registro, conforme segue:</w:t>
      </w:r>
    </w:p>
    <w:p w:rsidR="00426BE7" w:rsidRDefault="00426BE7" w:rsidP="006D03D5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426BE7" w:rsidRDefault="00426BE7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FORNECEDOR: BRUTHAN COMERCIAL LTDA</w:t>
      </w:r>
    </w:p>
    <w:tbl>
      <w:tblPr>
        <w:tblStyle w:val="Tabelacomgrade"/>
        <w:tblW w:w="0" w:type="auto"/>
        <w:tblLook w:val="04A0"/>
      </w:tblPr>
      <w:tblGrid>
        <w:gridCol w:w="588"/>
        <w:gridCol w:w="784"/>
        <w:gridCol w:w="817"/>
        <w:gridCol w:w="3100"/>
        <w:gridCol w:w="1072"/>
        <w:gridCol w:w="1072"/>
        <w:gridCol w:w="1287"/>
      </w:tblGrid>
      <w:tr w:rsidR="00426BE7" w:rsidTr="00426BE7">
        <w:tc>
          <w:tcPr>
            <w:tcW w:w="60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30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3178" w:type="dxa"/>
          </w:tcPr>
          <w:p w:rsidR="00426BE7" w:rsidRDefault="00426BE7" w:rsidP="001E520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23C">
              <w:rPr>
                <w:rFonts w:ascii="Arial" w:hAnsi="Arial" w:cs="Arial"/>
                <w:b/>
                <w:sz w:val="20"/>
                <w:szCs w:val="20"/>
              </w:rPr>
              <w:t>Fórmula infantil para lactentes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 seguimento para lactentes e crianças de primeira infância destinada a necessidades dietoterápicas especificas com alergia a múltiplos alimentos ou alergia a hidrolisado proteicos com comprometimento gastrointestinal, restrição de lactose e à base de aminoácidos. Com DHA e ARA. Lata de 400g</w:t>
            </w:r>
          </w:p>
        </w:tc>
        <w:tc>
          <w:tcPr>
            <w:tcW w:w="926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Puramino</w:t>
            </w:r>
          </w:p>
        </w:tc>
        <w:tc>
          <w:tcPr>
            <w:tcW w:w="108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298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</w:tr>
    </w:tbl>
    <w:p w:rsidR="00426BE7" w:rsidRPr="00426BE7" w:rsidRDefault="00426BE7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6BE7" w:rsidRDefault="00426BE7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FORNECEDOR: PAPELARIA SÃO BENTO LTDA – EPP</w:t>
      </w:r>
    </w:p>
    <w:tbl>
      <w:tblPr>
        <w:tblStyle w:val="Tabelacomgrade"/>
        <w:tblW w:w="0" w:type="auto"/>
        <w:tblLook w:val="04A0"/>
      </w:tblPr>
      <w:tblGrid>
        <w:gridCol w:w="620"/>
        <w:gridCol w:w="813"/>
        <w:gridCol w:w="843"/>
        <w:gridCol w:w="3186"/>
        <w:gridCol w:w="937"/>
        <w:gridCol w:w="1057"/>
        <w:gridCol w:w="1264"/>
      </w:tblGrid>
      <w:tr w:rsidR="00426BE7" w:rsidTr="00426BE7">
        <w:tc>
          <w:tcPr>
            <w:tcW w:w="620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4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3186" w:type="dxa"/>
          </w:tcPr>
          <w:p w:rsidR="00426BE7" w:rsidRDefault="00426BE7" w:rsidP="001E520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50">
              <w:rPr>
                <w:rFonts w:ascii="Arial" w:hAnsi="Arial" w:cs="Arial"/>
                <w:b/>
                <w:sz w:val="20"/>
                <w:szCs w:val="20"/>
              </w:rPr>
              <w:t>Fórmula de Partida:</w:t>
            </w:r>
            <w:r>
              <w:rPr>
                <w:rFonts w:ascii="Arial" w:hAnsi="Arial" w:cs="Arial"/>
                <w:sz w:val="20"/>
                <w:szCs w:val="20"/>
              </w:rPr>
              <w:t xml:space="preserve"> Leite em pó enriquecido com ferro - lata de 400g: Fórmula Láctea Infantil para atender crianças com até 6 meses de vida. A embalagem deve conter informações quanto à quantidade do produto, data de fabricação, prazo de validade, registro no órgão competente (SIF), composição nutricional, modo de preparo. As características físicas e de embalagem inalteradas. Atendendo as recomendações Codex Alimentarius FAO/OMS.</w:t>
            </w:r>
          </w:p>
        </w:tc>
        <w:tc>
          <w:tcPr>
            <w:tcW w:w="93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Milupa1</w:t>
            </w:r>
          </w:p>
        </w:tc>
        <w:tc>
          <w:tcPr>
            <w:tcW w:w="105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25,70</w:t>
            </w:r>
          </w:p>
        </w:tc>
        <w:tc>
          <w:tcPr>
            <w:tcW w:w="1264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426BE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5.140,00</w:t>
            </w:r>
          </w:p>
        </w:tc>
      </w:tr>
      <w:tr w:rsidR="00426BE7" w:rsidTr="00426BE7">
        <w:tc>
          <w:tcPr>
            <w:tcW w:w="620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4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3186" w:type="dxa"/>
          </w:tcPr>
          <w:p w:rsidR="00426BE7" w:rsidRDefault="00426BE7" w:rsidP="001E520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F50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AC3F50">
              <w:rPr>
                <w:rFonts w:ascii="Arial" w:hAnsi="Arial" w:cs="Arial"/>
                <w:b/>
                <w:sz w:val="20"/>
                <w:szCs w:val="20"/>
              </w:rPr>
              <w:t>rmula de Segmento: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leite em pó enriquecido com ferro – lata de 400 gramas: Formula Láctea Infantil para atender crianças a partir dos 6 meses de vida. A embalagem deve conter informações quanto à quantidade do produto, data de fabricação, prazo de validade, registro no órgão competente (SIF), composição nutricional, modo de preparo. As características físicas e de embalagem inalteradas. Atendendo as recomendações Codex Alimentarius FAO/OMS.</w:t>
            </w:r>
          </w:p>
        </w:tc>
        <w:tc>
          <w:tcPr>
            <w:tcW w:w="93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Milupa 2</w:t>
            </w:r>
          </w:p>
        </w:tc>
        <w:tc>
          <w:tcPr>
            <w:tcW w:w="105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28,51</w:t>
            </w:r>
          </w:p>
        </w:tc>
        <w:tc>
          <w:tcPr>
            <w:tcW w:w="1264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5.702,00</w:t>
            </w:r>
          </w:p>
        </w:tc>
      </w:tr>
      <w:tr w:rsidR="00426BE7" w:rsidTr="00426BE7">
        <w:tc>
          <w:tcPr>
            <w:tcW w:w="620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3186" w:type="dxa"/>
          </w:tcPr>
          <w:p w:rsidR="00426BE7" w:rsidRPr="0048356C" w:rsidRDefault="00426BE7" w:rsidP="001E520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23C">
              <w:rPr>
                <w:rFonts w:ascii="Arial" w:hAnsi="Arial" w:cs="Arial"/>
                <w:b/>
                <w:sz w:val="20"/>
                <w:szCs w:val="20"/>
              </w:rPr>
              <w:t>Leite de soja em pó</w:t>
            </w:r>
            <w:r>
              <w:rPr>
                <w:rFonts w:ascii="Arial" w:hAnsi="Arial" w:cs="Arial"/>
                <w:sz w:val="20"/>
                <w:szCs w:val="20"/>
              </w:rPr>
              <w:t>, lata de 400 gramas – sem lactose, 21 vitaminas, 100% vegetal, rico em cálcio, com soja não transgênica, sabor natural.</w:t>
            </w:r>
          </w:p>
        </w:tc>
        <w:tc>
          <w:tcPr>
            <w:tcW w:w="93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Aptamil SO</w:t>
            </w: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426BE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47,43</w:t>
            </w:r>
          </w:p>
        </w:tc>
        <w:tc>
          <w:tcPr>
            <w:tcW w:w="1264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4.743,00</w:t>
            </w:r>
          </w:p>
        </w:tc>
      </w:tr>
      <w:tr w:rsidR="00426BE7" w:rsidTr="00426BE7">
        <w:tc>
          <w:tcPr>
            <w:tcW w:w="620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4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3186" w:type="dxa"/>
          </w:tcPr>
          <w:p w:rsidR="00426BE7" w:rsidRDefault="00426BE7" w:rsidP="001E520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Suplemento alimentar enriquecido com vitaminas, cálcio, ferro, e minerais (leite em pó desnatado instantâneo e emulsificante lactina de soja), maltrodextrina, leite em pó integral, fosfato de magnésio, ascorbato de sódio sulfato ferroso, inositol, tocoferil., sulfato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zinco, niacinamida, sulfato de manganês, vitamina K1 pantotenato de cálcio, sulfato cúprico, acetato de retinil, vitamina B12, cloridrato de piridoxina, cloridrato de tiamina, riboflavina, colecalciferol, ácido fólico, diotino e aromatizantes, acetato de DL-Alfa, sem glúten, com lactose). Embalagem contendo no mínimo 400gr. Sabores morango, chocolate e baunilha.</w:t>
            </w:r>
          </w:p>
        </w:tc>
        <w:tc>
          <w:tcPr>
            <w:tcW w:w="93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059B6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</w:t>
            </w:r>
          </w:p>
        </w:tc>
        <w:tc>
          <w:tcPr>
            <w:tcW w:w="105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426BE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43,64</w:t>
            </w:r>
          </w:p>
        </w:tc>
        <w:tc>
          <w:tcPr>
            <w:tcW w:w="1264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9.600,80</w:t>
            </w:r>
          </w:p>
        </w:tc>
      </w:tr>
      <w:tr w:rsidR="00426BE7" w:rsidTr="00426BE7">
        <w:tc>
          <w:tcPr>
            <w:tcW w:w="620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81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43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3186" w:type="dxa"/>
          </w:tcPr>
          <w:p w:rsidR="00426BE7" w:rsidRDefault="00426BE7" w:rsidP="001E520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Fórmula infantil de segmento com pré-bióticos e DHA/ARA, com nutrientes balanceados. Embalagem contendo 400gr.</w:t>
            </w:r>
          </w:p>
        </w:tc>
        <w:tc>
          <w:tcPr>
            <w:tcW w:w="93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59B6" w:rsidRDefault="004059B6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Aptamil 2</w:t>
            </w:r>
          </w:p>
        </w:tc>
        <w:tc>
          <w:tcPr>
            <w:tcW w:w="1057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27,16</w:t>
            </w:r>
          </w:p>
        </w:tc>
        <w:tc>
          <w:tcPr>
            <w:tcW w:w="1264" w:type="dxa"/>
          </w:tcPr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BE7" w:rsidRDefault="00426BE7" w:rsidP="001E520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4.617,20</w:t>
            </w:r>
          </w:p>
        </w:tc>
      </w:tr>
    </w:tbl>
    <w:p w:rsidR="00426BE7" w:rsidRPr="00426BE7" w:rsidRDefault="00426BE7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2.1 – </w:t>
      </w:r>
      <w:r>
        <w:rPr>
          <w:rFonts w:ascii="Arial" w:hAnsi="Arial" w:cs="Arial"/>
          <w:sz w:val="20"/>
          <w:szCs w:val="20"/>
        </w:rPr>
        <w:t>A presente Ata de Registro de Preços terá validade de 01 (um) ano, a partir da sua assinatura.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– Este instrumento não obriga o Município a firmar contratações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quantidades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estimadas,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podendo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ocorrer licitações específicas para o fornecimento dos produtos, obedecida a legislação pertinente, sendo assegurada ao detentor do registro a preferência de fornecimento, em igualdade de condições, nos termos do art. 15, parágrafo 4º da Lei 8.666/93.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– Os preços registrados manter-se-ão inalterados pelo período de vigência da presente Ata, admitida </w:t>
      </w:r>
      <w:r w:rsidR="00F273A2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recomposição no caso de desequilíbrio da equação econômico-financeira inicial deste instrumento.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 – Os preços registrados que sofrerem recomposição não ultrapassarão os preços praticados no mercado, mantendo-se a diferença percentual apurada entre o valor originalmente  constante  da proposta  e  aquele  vigente  no mercado  à época do registro.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 – O aumento decorrente de recomposição dos preços unitários em razão de desequilíbrio econômico-financeiro do Contrato somente poderá ser dado se a sua ocorrência era imprevisível no momento da  contratação  e  se  houver  a efetiva  comprovação  do  aumento  pela  empresa  registrada  (requerimento,  planilha  de  custos  e  documentação  de suporte).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 – Caso o preço registrado se torne superior à média dos preços de mercado, o Município solicitará ao fornecedor, mediante correspondência, redução do preço registrado, de forma a adequá-lo na forma do item 2.4. </w:t>
      </w: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 xml:space="preserve">CLÁUSULA TERCEIRA – DOCUMENTOS INTEGRANTES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Para todos os efeitos legais, para melhor caracterização do objeto, bem como, para definir procedimentos e normas decorrentes das obrigações</w:t>
      </w:r>
      <w:r w:rsidR="00405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</w:t>
      </w:r>
      <w:r w:rsidR="00405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contraídas, integram  esta  Ata,  como  se  nela  estivesse  transcrita,  os  seguintes documentos: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Edital de Pregão Presencial nº 023/2017 e seus anexos;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Proposta </w:t>
      </w:r>
      <w:r w:rsidR="00DD0084">
        <w:rPr>
          <w:rFonts w:ascii="Arial" w:hAnsi="Arial" w:cs="Arial"/>
          <w:sz w:val="20"/>
          <w:szCs w:val="20"/>
        </w:rPr>
        <w:t>da (</w:t>
      </w:r>
      <w:r>
        <w:rPr>
          <w:rFonts w:ascii="Arial" w:hAnsi="Arial" w:cs="Arial"/>
          <w:sz w:val="20"/>
          <w:szCs w:val="20"/>
        </w:rPr>
        <w:t>s) Proponente(s).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CLÁUSULA QUARTA - DAS CONDIÇÕES DE ENTREGA E RECEBIMENTO</w:t>
      </w:r>
    </w:p>
    <w:p w:rsidR="006D03D5" w:rsidRPr="004613F0" w:rsidRDefault="006D03D5" w:rsidP="006D03D5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– </w:t>
      </w:r>
      <w:r w:rsidRPr="001418C1">
        <w:rPr>
          <w:rFonts w:ascii="Arial" w:hAnsi="Arial" w:cs="Arial"/>
          <w:sz w:val="20"/>
          <w:szCs w:val="20"/>
        </w:rPr>
        <w:t xml:space="preserve">Os materiais deverão ser entregues em </w:t>
      </w:r>
      <w:r w:rsidRPr="00C43584">
        <w:rPr>
          <w:rFonts w:ascii="Arial" w:hAnsi="Arial" w:cs="Arial"/>
          <w:b/>
          <w:sz w:val="20"/>
          <w:szCs w:val="20"/>
        </w:rPr>
        <w:t>até</w:t>
      </w:r>
      <w:r w:rsidRPr="001418C1">
        <w:rPr>
          <w:rFonts w:ascii="Arial" w:hAnsi="Arial" w:cs="Arial"/>
          <w:sz w:val="20"/>
          <w:szCs w:val="20"/>
        </w:rPr>
        <w:t xml:space="preserve"> </w:t>
      </w:r>
      <w:r w:rsidRPr="00C43584">
        <w:rPr>
          <w:rFonts w:ascii="Arial" w:hAnsi="Arial" w:cs="Arial"/>
          <w:b/>
          <w:sz w:val="20"/>
          <w:szCs w:val="20"/>
        </w:rPr>
        <w:t>15</w:t>
      </w:r>
      <w:r w:rsidRPr="001418C1">
        <w:rPr>
          <w:rFonts w:ascii="Arial" w:hAnsi="Arial" w:cs="Arial"/>
          <w:sz w:val="20"/>
          <w:szCs w:val="20"/>
        </w:rPr>
        <w:t xml:space="preserve"> (quinze) dias após a solicitação do Fundo Municipal de Saúde, em sua sede, sito a Rua Jacob Schadeck nº 1207, centro, neste município</w:t>
      </w:r>
      <w:r>
        <w:rPr>
          <w:rFonts w:ascii="Arial" w:hAnsi="Arial" w:cs="Arial"/>
          <w:sz w:val="20"/>
          <w:szCs w:val="20"/>
        </w:rPr>
        <w:t>.</w:t>
      </w:r>
      <w:r w:rsidRPr="004613F0">
        <w:rPr>
          <w:rFonts w:ascii="Arial" w:eastAsia="MS Mincho" w:hAnsi="Arial" w:cs="Arial"/>
          <w:sz w:val="20"/>
          <w:szCs w:val="20"/>
        </w:rPr>
        <w:t xml:space="preserve"> </w:t>
      </w:r>
    </w:p>
    <w:p w:rsidR="006D03D5" w:rsidRPr="004613F0" w:rsidRDefault="006D03D5" w:rsidP="006D03D5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 – O(s) pagamento(s) devido(s) à(s) contratada(s) serão efetuados em até 30 (trinta) dias após a entrega, de acordo com a data prevista e na ordem cronológica, acompanhada da respectiva Nota Fiscal.</w:t>
      </w: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CLÁUSULA QUINTA – DA RESPONSABILIDADE E OBRIGAÇÕES DA(S) EMPRESA(S) VENCEDORA(S)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A CONTRATADA assumirá responsabilidade pela entrega do objeto, bem como por quaisquer danos decorrentes da entrega, causados </w:t>
      </w:r>
      <w:r w:rsidR="004059B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esta Municipalidade ou à terceiros.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5.2 - A CONTRATADA obriga-se a manter, durante toda a execução do Contrato, em compatibilidade com as obrigações por ele assumidas, todas as condições de habilitação e qualificação exigidas na licitação, sob pena de rescisão do Contrato por não cumprimento do mesmo.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Cumprir todas as disposições constantes do edital Pregão Presencial n° 023/2017 e seus anexos;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Observado qualquer tipo de não atendimento das especificações dos objetos exigidos nesta ata, a EMPRESA VENCEDORA deverá providenciar a correção em até 05 dias, sem qualquer ônus para o Município.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CLÁUSULA SEXTA – DAS OBRIGAÇÕES DO MUNICÍPIO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Comunicar a empresa vencedora todas e quaisquer ocorrências relacionadas com o objeto da licitação;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 Rejeitar, no todo ou em parte, o objeto que a empresa vencedora fornecer fora das especificações do edital.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CLÁUSULA SÉTIMA – DAS PENALIDADES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 – A Registrada estará sujeita a multa de até 10% (dez por cento) sobre o valor total do empenho, sem</w:t>
      </w:r>
      <w:r w:rsidR="00F27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prejuízo da faculdade de rescisão e eventuais perdas e danos, apuradas na forma da legislação em vigor, quando: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Houver desistência da execução do objeto após a adjudicação da licitação;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Não for prestado o serviço no prazo estabelecido neste Edital;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Ocorrer o descumprimento de quaisquer disposições editalícias ou contratuais.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7.2 – A inadimplência sujeitará o fornecedor a uma das seguintes sanções administrativas, aplicáveis na forma da Lei, após a instauração de processo administrativo: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Advertência;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Multa de 10 (dez por cento) sobre o valor total da nota de empenho;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Suspensão do direito de licitar, pelo prazo de até 5 (cinco) anos, conforme previsto no Art. 7° da Lei n° 10.520/02;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Expedição de declaração de inidoneidade com a consequente exclusão do quadro de fornecedores e cancelamento de seu registro cadastral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CLÁUSULA OITAVA – DO CANCELAMENTO DA ATA DE REGISTRO DE PREÇOS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O Município poderá cancelar o Registro de Preços da(s) Empresa(s) nos casos a seguir especificados: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8.1.1 – quando descumprir as exigências do edital ou da respectiva ata;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 – quando a empresa der causa a rescisão administrativa de contrato decorrente de registro de preços;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8.1.3 – quando não aceitar abaixar o preço registrado, na hipótese de este se tornar superior àqueles praticados no mercado;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8.1.4 – quando não comparecer ou deixar de fornecer, no prazo estabelecido, a(s) entrega(s) do(s) objeto decorrentes da Ata de Registro de Preços e a Administração não aceitar a sua justificativa;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8.1.5 – em qualquer das hipóteses de inexecução total ou parcial do objeto;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8.1.6 – perder qualquer condição de habilitação e qualificação técnica exigida no processo licitatório;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8.1.7 – por razões de interesse público devidamente demonstradas e justificadas pela Administração.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D03D5" w:rsidRPr="00DD0084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0084">
        <w:rPr>
          <w:rFonts w:ascii="Arial" w:hAnsi="Arial" w:cs="Arial"/>
          <w:b/>
          <w:bCs/>
          <w:sz w:val="20"/>
          <w:szCs w:val="20"/>
        </w:rPr>
        <w:t>CLÁUSULA NONA - DISPOSIÇÕES GERAIS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 – A empresa vencedora não poderá subcontratar ou transferir a terceiros o fornecimento do objeto desta ata, salvo expressa autorização da Administração Municipal.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Elegem as partes contratantes o Foro da Comarca de Papanduva, para dirimir quaisquer questões decorrentes desta Ata, renunciando expressamente a qualquer outro, por mais privilegiado que seja.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9.3 – Os casos omissos serão resolvidos de acordo com a Lei 8666/93, suas alterações posteriores e demais normas aplicáveis.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03D5" w:rsidRDefault="006D03D5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Prefeitura Municipal de Papanduva,</w:t>
      </w:r>
      <w:r w:rsidR="00DD0084">
        <w:rPr>
          <w:rFonts w:ascii="Arial" w:hAnsi="Arial" w:cs="Arial"/>
          <w:sz w:val="20"/>
          <w:szCs w:val="20"/>
        </w:rPr>
        <w:t xml:space="preserve"> </w:t>
      </w:r>
      <w:r w:rsidR="00F273A2">
        <w:rPr>
          <w:rFonts w:ascii="Arial" w:hAnsi="Arial" w:cs="Arial"/>
          <w:sz w:val="20"/>
          <w:szCs w:val="20"/>
        </w:rPr>
        <w:t>30 de Março de 2017</w:t>
      </w:r>
      <w:r w:rsidR="00DD0084">
        <w:rPr>
          <w:rFonts w:ascii="Arial" w:hAnsi="Arial" w:cs="Arial"/>
          <w:sz w:val="20"/>
          <w:szCs w:val="20"/>
        </w:rPr>
        <w:t>.</w:t>
      </w: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P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0084">
        <w:rPr>
          <w:rFonts w:ascii="Arial" w:hAnsi="Arial" w:cs="Arial"/>
          <w:b/>
          <w:sz w:val="20"/>
          <w:szCs w:val="20"/>
        </w:rPr>
        <w:t>LUIZ HENRIQUE SALIBA</w:t>
      </w:r>
      <w:r w:rsidRPr="00DD0084">
        <w:rPr>
          <w:rFonts w:ascii="Arial" w:hAnsi="Arial" w:cs="Arial"/>
          <w:b/>
          <w:sz w:val="20"/>
          <w:szCs w:val="20"/>
        </w:rPr>
        <w:tab/>
      </w:r>
      <w:r w:rsidRPr="00DD0084">
        <w:rPr>
          <w:rFonts w:ascii="Arial" w:hAnsi="Arial" w:cs="Arial"/>
          <w:b/>
          <w:sz w:val="20"/>
          <w:szCs w:val="20"/>
        </w:rPr>
        <w:tab/>
      </w:r>
      <w:r w:rsidRPr="00DD0084">
        <w:rPr>
          <w:rFonts w:ascii="Arial" w:hAnsi="Arial" w:cs="Arial"/>
          <w:b/>
          <w:sz w:val="20"/>
          <w:szCs w:val="20"/>
        </w:rPr>
        <w:tab/>
      </w:r>
      <w:r w:rsidRPr="00DD0084">
        <w:rPr>
          <w:rFonts w:ascii="Arial" w:hAnsi="Arial" w:cs="Arial"/>
          <w:b/>
          <w:sz w:val="20"/>
          <w:szCs w:val="20"/>
        </w:rPr>
        <w:tab/>
      </w:r>
      <w:r w:rsidRPr="00DD0084">
        <w:rPr>
          <w:rFonts w:ascii="Arial" w:hAnsi="Arial" w:cs="Arial"/>
          <w:b/>
          <w:sz w:val="20"/>
          <w:szCs w:val="20"/>
        </w:rPr>
        <w:tab/>
        <w:t>JOSÉ RATOCHINSKI FILHO</w:t>
      </w:r>
    </w:p>
    <w:p w:rsidR="00DD0084" w:rsidRDefault="00DD0084" w:rsidP="00DD0084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PREFEITO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PREGOEIRO</w:t>
      </w: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D0084" w:rsidRP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D0084">
        <w:rPr>
          <w:rFonts w:ascii="Arial" w:hAnsi="Arial" w:cs="Arial"/>
          <w:b/>
          <w:sz w:val="20"/>
          <w:szCs w:val="20"/>
          <w:lang w:val="en-US"/>
        </w:rPr>
        <w:t xml:space="preserve">EDU MANSUR GODINHO  </w:t>
      </w:r>
      <w:r w:rsidRPr="00DD0084"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Pr="00DD0084">
        <w:rPr>
          <w:rFonts w:ascii="Arial" w:hAnsi="Arial" w:cs="Arial"/>
          <w:b/>
          <w:sz w:val="20"/>
          <w:szCs w:val="20"/>
          <w:lang w:val="en-US"/>
        </w:rPr>
        <w:t>CHARLES GILSON RITMANN</w:t>
      </w:r>
    </w:p>
    <w:p w:rsidR="00DD0084" w:rsidRP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Bruthan Comercial LTDA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Papelaria São Bento LTDA-ME</w:t>
      </w:r>
    </w:p>
    <w:p w:rsidR="00DD0084" w:rsidRPr="00DD0084" w:rsidRDefault="00DD0084" w:rsidP="006D03D5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03D5" w:rsidRDefault="00DD0084" w:rsidP="00DD0084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  <w:r w:rsidRPr="00DD0084">
        <w:rPr>
          <w:rFonts w:ascii="Arial" w:hAnsi="Arial" w:cs="Arial"/>
          <w:sz w:val="20"/>
          <w:szCs w:val="20"/>
        </w:rPr>
        <w:tab/>
      </w:r>
      <w:r w:rsidRPr="00DD0084">
        <w:rPr>
          <w:rFonts w:ascii="Arial" w:hAnsi="Arial" w:cs="Arial"/>
          <w:sz w:val="20"/>
          <w:szCs w:val="20"/>
        </w:rPr>
        <w:tab/>
      </w:r>
      <w:r w:rsidRPr="00DD0084">
        <w:rPr>
          <w:rFonts w:ascii="Arial" w:hAnsi="Arial" w:cs="Arial"/>
          <w:sz w:val="20"/>
          <w:szCs w:val="20"/>
        </w:rPr>
        <w:tab/>
      </w:r>
      <w:r w:rsidRPr="00DD0084">
        <w:rPr>
          <w:rFonts w:ascii="Arial" w:hAnsi="Arial" w:cs="Arial"/>
          <w:sz w:val="20"/>
          <w:szCs w:val="20"/>
        </w:rPr>
        <w:tab/>
      </w:r>
    </w:p>
    <w:p w:rsidR="00DD0084" w:rsidRDefault="00DD0084" w:rsidP="00DD0084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</w:p>
    <w:p w:rsidR="00DD0084" w:rsidRDefault="00DD0084" w:rsidP="00DD0084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</w:p>
    <w:p w:rsidR="00DD0084" w:rsidRDefault="00DD0084" w:rsidP="00DD0084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</w:p>
    <w:p w:rsidR="00DD0084" w:rsidRPr="00DD0084" w:rsidRDefault="00DD0084" w:rsidP="00DD0084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</w:p>
    <w:p w:rsidR="006D03D5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e aprovado pela Procuradoria Jurídica</w:t>
      </w:r>
    </w:p>
    <w:p w:rsidR="006D03D5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D0084" w:rsidRDefault="00DD0084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D03D5" w:rsidRPr="0010692C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692C">
        <w:rPr>
          <w:rFonts w:ascii="Arial" w:hAnsi="Arial" w:cs="Arial"/>
          <w:b/>
          <w:sz w:val="20"/>
          <w:szCs w:val="20"/>
        </w:rPr>
        <w:t>Soraya F. Mendes Prust</w:t>
      </w:r>
    </w:p>
    <w:p w:rsidR="006D03D5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Procuradora Jurídica</w:t>
      </w:r>
    </w:p>
    <w:p w:rsidR="006D03D5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OAB/SC 19087</w:t>
      </w:r>
    </w:p>
    <w:p w:rsidR="006D03D5" w:rsidRPr="004F5F86" w:rsidRDefault="006D03D5" w:rsidP="006D03D5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E1378" w:rsidRDefault="001E1378"/>
    <w:sectPr w:rsidR="001E1378" w:rsidSect="006D03D5">
      <w:headerReference w:type="default" r:id="rId6"/>
      <w:footerReference w:type="default" r:id="rId7"/>
      <w:pgSz w:w="11906" w:h="16838"/>
      <w:pgMar w:top="28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93" w:rsidRDefault="00876793" w:rsidP="006D03D5">
      <w:pPr>
        <w:spacing w:after="0" w:line="240" w:lineRule="auto"/>
      </w:pPr>
      <w:r>
        <w:separator/>
      </w:r>
    </w:p>
  </w:endnote>
  <w:endnote w:type="continuationSeparator" w:id="1">
    <w:p w:rsidR="00876793" w:rsidRDefault="00876793" w:rsidP="006D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D5" w:rsidRDefault="006D03D5">
    <w:pPr>
      <w:pStyle w:val="Rodap"/>
    </w:pPr>
    <w:r w:rsidRPr="006D03D5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-560153</wp:posOffset>
          </wp:positionH>
          <wp:positionV relativeFrom="paragraph">
            <wp:posOffset>-951589</wp:posOffset>
          </wp:positionV>
          <wp:extent cx="6993366" cy="1335819"/>
          <wp:effectExtent l="19050" t="0" r="635" b="0"/>
          <wp:wrapTight wrapText="bothSides">
            <wp:wrapPolygon edited="0">
              <wp:start x="-59" y="0"/>
              <wp:lineTo x="-59" y="21291"/>
              <wp:lineTo x="21602" y="21291"/>
              <wp:lineTo x="21602" y="0"/>
              <wp:lineTo x="-59" y="0"/>
            </wp:wrapPolygon>
          </wp:wrapTight>
          <wp:docPr id="5" name="Imagem 5" descr="w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345" b="1106"/>
                  <a:stretch>
                    <a:fillRect/>
                  </a:stretch>
                </pic:blipFill>
                <pic:spPr bwMode="auto">
                  <a:xfrm>
                    <a:off x="0" y="0"/>
                    <a:ext cx="699071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93" w:rsidRDefault="00876793" w:rsidP="006D03D5">
      <w:pPr>
        <w:spacing w:after="0" w:line="240" w:lineRule="auto"/>
      </w:pPr>
      <w:r>
        <w:separator/>
      </w:r>
    </w:p>
  </w:footnote>
  <w:footnote w:type="continuationSeparator" w:id="1">
    <w:p w:rsidR="00876793" w:rsidRDefault="00876793" w:rsidP="006D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D5" w:rsidRDefault="006D03D5">
    <w:pPr>
      <w:pStyle w:val="Cabealho"/>
    </w:pPr>
    <w:r w:rsidRPr="006D03D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-917962</wp:posOffset>
          </wp:positionH>
          <wp:positionV relativeFrom="paragraph">
            <wp:posOffset>-290554</wp:posOffset>
          </wp:positionV>
          <wp:extent cx="6925945" cy="1534602"/>
          <wp:effectExtent l="19050" t="0" r="4445" b="0"/>
          <wp:wrapNone/>
          <wp:docPr id="4" name="Imagem 4" descr="w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1" t="575" b="83788"/>
                  <a:stretch>
                    <a:fillRect/>
                  </a:stretch>
                </pic:blipFill>
                <pic:spPr bwMode="auto">
                  <a:xfrm>
                    <a:off x="0" y="0"/>
                    <a:ext cx="6929755" cy="153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3D5"/>
    <w:rsid w:val="00130069"/>
    <w:rsid w:val="001E1378"/>
    <w:rsid w:val="00234F7E"/>
    <w:rsid w:val="0035620D"/>
    <w:rsid w:val="003937AF"/>
    <w:rsid w:val="003E4E22"/>
    <w:rsid w:val="004059B6"/>
    <w:rsid w:val="00426BE7"/>
    <w:rsid w:val="0042749F"/>
    <w:rsid w:val="00457225"/>
    <w:rsid w:val="004B5FDD"/>
    <w:rsid w:val="00514D76"/>
    <w:rsid w:val="00573DFD"/>
    <w:rsid w:val="00592656"/>
    <w:rsid w:val="005C2102"/>
    <w:rsid w:val="00665767"/>
    <w:rsid w:val="006D03D5"/>
    <w:rsid w:val="006F74A3"/>
    <w:rsid w:val="00796FCD"/>
    <w:rsid w:val="008519CB"/>
    <w:rsid w:val="00876793"/>
    <w:rsid w:val="008828DF"/>
    <w:rsid w:val="00946607"/>
    <w:rsid w:val="00990855"/>
    <w:rsid w:val="009E5A60"/>
    <w:rsid w:val="00A272EF"/>
    <w:rsid w:val="00AA6695"/>
    <w:rsid w:val="00AF0F8A"/>
    <w:rsid w:val="00B1476B"/>
    <w:rsid w:val="00B70F78"/>
    <w:rsid w:val="00B87017"/>
    <w:rsid w:val="00C90D25"/>
    <w:rsid w:val="00D000D2"/>
    <w:rsid w:val="00D1371E"/>
    <w:rsid w:val="00D83184"/>
    <w:rsid w:val="00DC3BBE"/>
    <w:rsid w:val="00DD0084"/>
    <w:rsid w:val="00DF429C"/>
    <w:rsid w:val="00E15CB5"/>
    <w:rsid w:val="00E234DF"/>
    <w:rsid w:val="00ED0CA7"/>
    <w:rsid w:val="00EE5EA7"/>
    <w:rsid w:val="00F273A2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E7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3D5"/>
    <w:pPr>
      <w:ind w:right="0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6D03D5"/>
    <w:pPr>
      <w:tabs>
        <w:tab w:val="center" w:pos="4252"/>
        <w:tab w:val="right" w:pos="8504"/>
      </w:tabs>
      <w:spacing w:after="0" w:line="240" w:lineRule="auto"/>
      <w:ind w:right="57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D03D5"/>
  </w:style>
  <w:style w:type="paragraph" w:styleId="Rodap">
    <w:name w:val="footer"/>
    <w:basedOn w:val="Normal"/>
    <w:link w:val="RodapChar"/>
    <w:uiPriority w:val="99"/>
    <w:semiHidden/>
    <w:unhideWhenUsed/>
    <w:rsid w:val="006D03D5"/>
    <w:pPr>
      <w:tabs>
        <w:tab w:val="center" w:pos="4252"/>
        <w:tab w:val="right" w:pos="8504"/>
      </w:tabs>
      <w:spacing w:after="0" w:line="240" w:lineRule="auto"/>
      <w:ind w:right="57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6D03D5"/>
  </w:style>
  <w:style w:type="table" w:styleId="Tabelacomgrade">
    <w:name w:val="Table Grid"/>
    <w:basedOn w:val="Tabelanormal"/>
    <w:uiPriority w:val="59"/>
    <w:rsid w:val="00426BE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1662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2</cp:revision>
  <dcterms:created xsi:type="dcterms:W3CDTF">2017-05-05T19:48:00Z</dcterms:created>
  <dcterms:modified xsi:type="dcterms:W3CDTF">2017-05-05T19:48:00Z</dcterms:modified>
</cp:coreProperties>
</file>