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CF" w:rsidRPr="002820CB" w:rsidRDefault="000224CF" w:rsidP="000224CF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Decreto n° 318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8</w:t>
      </w:r>
      <w:r w:rsidRPr="002820CB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, de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14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 de março de 2022</w:t>
      </w:r>
      <w:r w:rsidRPr="002820CB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.</w:t>
      </w:r>
    </w:p>
    <w:p w:rsidR="000224CF" w:rsidRPr="002820CB" w:rsidRDefault="000224CF" w:rsidP="000224CF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p w:rsidR="000224CF" w:rsidRPr="002820CB" w:rsidRDefault="000224CF" w:rsidP="000224CF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Bookman Old Style" w:eastAsia="Arial" w:hAnsi="Bookman Old Style" w:cs="Arial"/>
          <w:b/>
          <w:color w:val="000000"/>
          <w:sz w:val="24"/>
          <w:szCs w:val="24"/>
        </w:rPr>
      </w:pPr>
      <w:r w:rsidRPr="002820CB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ACATA AS DETERMINAÇÕES DO </w:t>
      </w:r>
      <w:r w:rsidRPr="002820CB">
        <w:rPr>
          <w:rFonts w:ascii="Bookman Old Style" w:eastAsia="Arial" w:hAnsi="Bookman Old Style" w:cs="Arial"/>
          <w:b/>
          <w:color w:val="000000"/>
          <w:sz w:val="24"/>
          <w:szCs w:val="24"/>
        </w:rPr>
        <w:t>DECRETO Nº 1.</w:t>
      </w:r>
      <w:r>
        <w:rPr>
          <w:rFonts w:ascii="Bookman Old Style" w:eastAsia="Arial" w:hAnsi="Bookman Old Style" w:cs="Arial"/>
          <w:b/>
          <w:color w:val="000000"/>
          <w:sz w:val="24"/>
          <w:szCs w:val="24"/>
        </w:rPr>
        <w:t>7</w:t>
      </w:r>
      <w:r>
        <w:rPr>
          <w:rFonts w:ascii="Bookman Old Style" w:eastAsia="Arial" w:hAnsi="Bookman Old Style" w:cs="Arial"/>
          <w:b/>
          <w:color w:val="000000"/>
          <w:sz w:val="24"/>
          <w:szCs w:val="24"/>
        </w:rPr>
        <w:t>94</w:t>
      </w:r>
      <w:r>
        <w:rPr>
          <w:rFonts w:ascii="Bookman Old Style" w:eastAsia="Arial" w:hAnsi="Bookman Old Style" w:cs="Arial"/>
          <w:b/>
          <w:color w:val="000000"/>
          <w:sz w:val="24"/>
          <w:szCs w:val="24"/>
        </w:rPr>
        <w:t>,</w:t>
      </w:r>
      <w:r w:rsidRPr="002820CB">
        <w:rPr>
          <w:rFonts w:ascii="Bookman Old Style" w:eastAsia="Arial" w:hAnsi="Bookman Old Style" w:cs="Arial"/>
          <w:b/>
          <w:color w:val="000000"/>
          <w:sz w:val="24"/>
          <w:szCs w:val="24"/>
        </w:rPr>
        <w:t xml:space="preserve"> DE </w:t>
      </w:r>
      <w:r>
        <w:rPr>
          <w:rFonts w:ascii="Bookman Old Style" w:eastAsia="Arial" w:hAnsi="Bookman Old Style" w:cs="Arial"/>
          <w:b/>
          <w:color w:val="000000"/>
          <w:sz w:val="24"/>
          <w:szCs w:val="24"/>
        </w:rPr>
        <w:t>1</w:t>
      </w:r>
      <w:r>
        <w:rPr>
          <w:rFonts w:ascii="Bookman Old Style" w:eastAsia="Arial" w:hAnsi="Bookman Old Style" w:cs="Arial"/>
          <w:b/>
          <w:color w:val="000000"/>
          <w:sz w:val="24"/>
          <w:szCs w:val="24"/>
        </w:rPr>
        <w:t>2 de março de 2022</w:t>
      </w:r>
      <w:r w:rsidRPr="002820CB">
        <w:rPr>
          <w:rFonts w:ascii="Bookman Old Style" w:eastAsia="Arial" w:hAnsi="Bookman Old Style" w:cs="Arial"/>
          <w:b/>
          <w:color w:val="000000"/>
          <w:sz w:val="24"/>
          <w:szCs w:val="24"/>
        </w:rPr>
        <w:t>,</w:t>
      </w:r>
      <w:r>
        <w:rPr>
          <w:rFonts w:ascii="Bookman Old Style" w:eastAsia="Arial" w:hAnsi="Bookman Old Style" w:cs="Arial"/>
          <w:b/>
          <w:color w:val="000000"/>
          <w:sz w:val="24"/>
          <w:szCs w:val="24"/>
        </w:rPr>
        <w:t xml:space="preserve"> DO GOVERNO DO ESTADO DE SANTA </w:t>
      </w:r>
      <w:r w:rsidRPr="002820CB">
        <w:rPr>
          <w:rFonts w:ascii="Bookman Old Style" w:eastAsia="Arial" w:hAnsi="Bookman Old Style" w:cs="Arial"/>
          <w:b/>
          <w:color w:val="000000"/>
          <w:sz w:val="24"/>
          <w:szCs w:val="24"/>
        </w:rPr>
        <w:t xml:space="preserve">CATARINA, </w:t>
      </w:r>
      <w:r w:rsidRPr="002820CB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CONFORME CONSTA.</w:t>
      </w:r>
    </w:p>
    <w:p w:rsidR="000224CF" w:rsidRPr="002820CB" w:rsidRDefault="000224CF" w:rsidP="000224CF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0224CF" w:rsidRPr="002820CB" w:rsidRDefault="000224CF" w:rsidP="000224CF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701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O </w:t>
      </w:r>
      <w:r w:rsidRPr="002820C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Prefeito Municipal de Papanduva, Estado de Santa Catarina, no uso de suas atribuições legais, conferidas pelo Artigo 59, Inciso VI da Lei Orgânica Municipal, </w:t>
      </w:r>
    </w:p>
    <w:p w:rsidR="000224CF" w:rsidRPr="002820CB" w:rsidRDefault="000224CF" w:rsidP="000224CF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0224CF" w:rsidRPr="002820CB" w:rsidRDefault="000224CF" w:rsidP="000224CF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 w:rsidRPr="002820CB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DECRETA</w:t>
      </w:r>
    </w:p>
    <w:p w:rsidR="000224CF" w:rsidRPr="002820CB" w:rsidRDefault="000224CF" w:rsidP="000224CF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0224CF" w:rsidRPr="002820CB" w:rsidRDefault="000224CF" w:rsidP="000224CF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701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2820C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Art. 1º Ficam acatadas as determinações do Decreto n. 1.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7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94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de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2 de março de 2022</w:t>
      </w:r>
      <w:r w:rsidRPr="002820C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do Governo do Estado de Santa Ca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</w:t>
      </w:r>
      <w:r w:rsidRPr="002820C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arina, conforme Anexo Único que fica fazendo parte integrante deste Decreto.</w:t>
      </w:r>
    </w:p>
    <w:p w:rsidR="000224CF" w:rsidRPr="002820CB" w:rsidRDefault="000224CF" w:rsidP="000224CF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701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0224CF" w:rsidRPr="002820CB" w:rsidRDefault="000224CF" w:rsidP="000224CF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701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2820C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Art. 2º Ficam mantidas todas as demais determinações já expedidas pelo Poder Executivo Municipal e pelo Estado de Santa Catarina desde que não conflitantes e que não restaram expressamente revogadas.</w:t>
      </w:r>
    </w:p>
    <w:p w:rsidR="000224CF" w:rsidRPr="002820CB" w:rsidRDefault="000224CF" w:rsidP="000224CF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701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0224CF" w:rsidRPr="002820CB" w:rsidRDefault="000224CF" w:rsidP="000224CF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701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2820C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Art. 3° Este Decreto entra em vigor na data de sua publicação.</w:t>
      </w:r>
    </w:p>
    <w:p w:rsidR="000224CF" w:rsidRDefault="000224CF" w:rsidP="000224CF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0224CF" w:rsidRPr="002820CB" w:rsidRDefault="000224CF" w:rsidP="000224CF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0224CF" w:rsidRPr="002820CB" w:rsidRDefault="000224CF" w:rsidP="000224CF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2820C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Município de Papanduva,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14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de março de 2022.</w:t>
      </w:r>
    </w:p>
    <w:p w:rsidR="000224CF" w:rsidRPr="002820CB" w:rsidRDefault="000224CF" w:rsidP="000224CF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0224CF" w:rsidRPr="002820CB" w:rsidRDefault="000224CF" w:rsidP="000224CF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2820C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Luiz Henrique </w:t>
      </w:r>
      <w:proofErr w:type="spellStart"/>
      <w:r w:rsidRPr="002820C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Saliba</w:t>
      </w:r>
      <w:proofErr w:type="spellEnd"/>
    </w:p>
    <w:p w:rsidR="000224CF" w:rsidRPr="002820CB" w:rsidRDefault="000224CF" w:rsidP="000224CF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 w:rsidRPr="002820CB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Prefeito Municipal</w:t>
      </w:r>
    </w:p>
    <w:p w:rsidR="000224CF" w:rsidRPr="002820CB" w:rsidRDefault="000224CF" w:rsidP="000224CF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p w:rsidR="000224CF" w:rsidRPr="002820CB" w:rsidRDefault="000224CF" w:rsidP="000224CF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30"/>
          <w:tab w:val="center" w:pos="9118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0224CF" w:rsidRPr="00964286" w:rsidRDefault="000224CF" w:rsidP="000224CF">
      <w:pPr>
        <w:pStyle w:val="SemEspaamento"/>
        <w:ind w:left="2835"/>
        <w:jc w:val="both"/>
        <w:rPr>
          <w:rFonts w:ascii="Bookman Old Style" w:hAnsi="Bookman Old Style" w:cs="Courier New"/>
          <w:sz w:val="18"/>
          <w:szCs w:val="18"/>
        </w:rPr>
      </w:pPr>
      <w:r w:rsidRPr="00964286">
        <w:rPr>
          <w:rFonts w:ascii="Bookman Old Style" w:hAnsi="Bookman Old Style" w:cs="Courier New"/>
          <w:sz w:val="18"/>
          <w:szCs w:val="18"/>
        </w:rPr>
        <w:t xml:space="preserve">Este Decreto foi registrado na Secretaria da Administração e publicado no átrio – mural de publicações desta Prefeitura Municipal, e no site </w:t>
      </w:r>
      <w:hyperlink r:id="rId4" w:history="1">
        <w:r w:rsidRPr="00964286">
          <w:rPr>
            <w:rStyle w:val="Hyperlink"/>
            <w:rFonts w:cs="Courier New"/>
            <w:sz w:val="18"/>
            <w:szCs w:val="18"/>
          </w:rPr>
          <w:t>www.diariomunicipal.sc.gov.br</w:t>
        </w:r>
      </w:hyperlink>
      <w:r w:rsidRPr="00964286">
        <w:rPr>
          <w:rFonts w:ascii="Bookman Old Style" w:hAnsi="Bookman Old Style" w:cs="Courier New"/>
          <w:sz w:val="18"/>
          <w:szCs w:val="18"/>
        </w:rPr>
        <w:t>, na mesma data supra.</w:t>
      </w:r>
    </w:p>
    <w:p w:rsidR="000224CF" w:rsidRPr="00964286" w:rsidRDefault="000224CF" w:rsidP="000224CF">
      <w:pPr>
        <w:pStyle w:val="SemEspaamento"/>
        <w:ind w:left="2835"/>
        <w:jc w:val="both"/>
        <w:rPr>
          <w:rFonts w:ascii="Bookman Old Style" w:hAnsi="Bookman Old Style"/>
          <w:sz w:val="18"/>
          <w:szCs w:val="18"/>
        </w:rPr>
      </w:pPr>
      <w:r w:rsidRPr="00964286">
        <w:rPr>
          <w:rFonts w:ascii="Bookman Old Style" w:hAnsi="Bookman Old Style"/>
          <w:sz w:val="18"/>
          <w:szCs w:val="18"/>
        </w:rPr>
        <w:t xml:space="preserve"> </w:t>
      </w:r>
    </w:p>
    <w:p w:rsidR="000224CF" w:rsidRPr="00964286" w:rsidRDefault="000224CF" w:rsidP="000224CF">
      <w:pPr>
        <w:pStyle w:val="SemEspaamento"/>
        <w:ind w:left="2835"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964286">
        <w:rPr>
          <w:rFonts w:ascii="Bookman Old Style" w:hAnsi="Bookman Old Style"/>
          <w:sz w:val="18"/>
          <w:szCs w:val="18"/>
        </w:rPr>
        <w:t>Evini</w:t>
      </w:r>
      <w:proofErr w:type="spellEnd"/>
      <w:r w:rsidRPr="00964286">
        <w:rPr>
          <w:rFonts w:ascii="Bookman Old Style" w:hAnsi="Bookman Old Style"/>
          <w:sz w:val="18"/>
          <w:szCs w:val="18"/>
        </w:rPr>
        <w:t xml:space="preserve"> Roseli G. de Oliveira</w:t>
      </w:r>
    </w:p>
    <w:p w:rsidR="000224CF" w:rsidRPr="00964286" w:rsidRDefault="000224CF" w:rsidP="000224CF">
      <w:pPr>
        <w:pStyle w:val="SemEspaamento"/>
        <w:ind w:left="2835"/>
        <w:jc w:val="both"/>
        <w:rPr>
          <w:sz w:val="18"/>
          <w:szCs w:val="18"/>
        </w:rPr>
      </w:pPr>
      <w:r w:rsidRPr="00964286">
        <w:rPr>
          <w:rFonts w:ascii="Bookman Old Style" w:hAnsi="Bookman Old Style"/>
          <w:sz w:val="18"/>
          <w:szCs w:val="18"/>
        </w:rPr>
        <w:t>Secretária da Administração</w:t>
      </w:r>
    </w:p>
    <w:p w:rsidR="000224CF" w:rsidRDefault="000224CF" w:rsidP="000224CF">
      <w:pPr>
        <w:pStyle w:val="Ttulo3"/>
        <w:shd w:val="clear" w:color="auto" w:fill="FFFFFF"/>
        <w:spacing w:before="0"/>
        <w:rPr>
          <w:rFonts w:ascii="inherit" w:hAnsi="inherit"/>
          <w:color w:val="113A66"/>
          <w:sz w:val="36"/>
          <w:szCs w:val="36"/>
        </w:rPr>
      </w:pPr>
    </w:p>
    <w:p w:rsidR="000224CF" w:rsidRDefault="000224CF" w:rsidP="000224CF"/>
    <w:p w:rsidR="000224CF" w:rsidRDefault="000224CF" w:rsidP="000224CF"/>
    <w:p w:rsidR="000224CF" w:rsidRDefault="000224CF" w:rsidP="000224CF"/>
    <w:p w:rsidR="000224CF" w:rsidRPr="000224CF" w:rsidRDefault="000224CF" w:rsidP="000224CF"/>
    <w:p w:rsidR="00284029" w:rsidRPr="00284029" w:rsidRDefault="00284029" w:rsidP="000224CF">
      <w:pPr>
        <w:shd w:val="clear" w:color="auto" w:fill="F5F5F5"/>
        <w:spacing w:before="300" w:after="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pt-BR"/>
        </w:rPr>
      </w:pPr>
      <w:r w:rsidRPr="0028402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pt-BR"/>
        </w:rPr>
        <w:lastRenderedPageBreak/>
        <w:t>DECRETO Nº 1.794, DE 12 DE MARÇO DE 2022.</w:t>
      </w:r>
    </w:p>
    <w:p w:rsidR="00284029" w:rsidRPr="00284029" w:rsidRDefault="00284029" w:rsidP="000224CF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kern w:val="36"/>
          <w:sz w:val="24"/>
          <w:szCs w:val="24"/>
          <w:lang w:eastAsia="pt-BR"/>
        </w:rPr>
      </w:pP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</w:r>
      <w:r w:rsidRPr="00284029">
        <w:rPr>
          <w:rFonts w:ascii="Helvetica" w:eastAsia="Times New Roman" w:hAnsi="Helvetica" w:cs="Helvetica"/>
          <w:color w:val="000000" w:themeColor="text1"/>
          <w:kern w:val="36"/>
          <w:sz w:val="24"/>
          <w:szCs w:val="24"/>
          <w:lang w:eastAsia="pt-BR"/>
        </w:rPr>
        <w:t>Dispõe sobre medidas e recomendações sanitárias para fins de enfrentamento da COVID-19 e estabelece outras providências.</w:t>
      </w:r>
    </w:p>
    <w:p w:rsidR="000224CF" w:rsidRDefault="00284029" w:rsidP="000224CF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</w:pP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</w: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 xml:space="preserve">O GOVERNADOR DO ESTADO DE SANTA CATARINA, no uso das atribuições privativas que lhe conferem os incisos I, III e IV, alínea "a", do art. 71 da Constituição do Estado, e de acordo com o que consta nos autos do processo nº </w:t>
      </w:r>
      <w:proofErr w:type="spellStart"/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>sES</w:t>
      </w:r>
      <w:proofErr w:type="spellEnd"/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 xml:space="preserve"> 42219/2022.</w:t>
      </w:r>
    </w:p>
    <w:p w:rsidR="000224CF" w:rsidRDefault="000224CF" w:rsidP="000224CF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  <w:t xml:space="preserve">Art. 1° </w:t>
      </w:r>
      <w:r w:rsidR="00284029"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>Fica estabelecida a vacinação da população catarinense, conforme Programa Nacional de Imunizações e demais normas estaduais, como medida principal de enfrentamento da COVID-19.</w:t>
      </w:r>
    </w:p>
    <w:p w:rsidR="000224CF" w:rsidRDefault="000224CF" w:rsidP="000224CF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</w:pPr>
      <w:bookmarkStart w:id="0" w:name="_GoBack"/>
      <w:bookmarkEnd w:id="0"/>
    </w:p>
    <w:p w:rsidR="000224CF" w:rsidRDefault="000224CF" w:rsidP="000224CF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 xml:space="preserve">Art. 2° </w:t>
      </w:r>
      <w:r w:rsidR="00284029"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>Fica desobrigado, em todo o território estadual, o uso de máscaras de proteção facial em ambientes abertos ou fechados, cabendo a cada pessoa a decisão de utilizá-las ou não.</w:t>
      </w:r>
    </w:p>
    <w:p w:rsidR="000224CF" w:rsidRDefault="00284029" w:rsidP="000224CF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</w:pP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</w:r>
      <w:r w:rsidR="000224CF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 xml:space="preserve">Art. 3° </w:t>
      </w: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 xml:space="preserve">Ficam recomendadas, em todo o território estadual, as seguintes medidas de prevenção, proteção e precaução contra a disseminação do </w:t>
      </w:r>
      <w:proofErr w:type="spellStart"/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>coronavírus</w:t>
      </w:r>
      <w:proofErr w:type="spellEnd"/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>, de acordo com o Manual de Orientações da COVID-19 da Secretaria de Estado da Saúde (SES):</w:t>
      </w:r>
    </w:p>
    <w:p w:rsidR="000224CF" w:rsidRDefault="00284029" w:rsidP="000224CF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</w:pP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</w: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>I - utilização de máscaras de proteção facial cobrindo o nariz e a boca por pessoas que apresentem sintomas gripais ou que tiveram contato com caso suspeito ou confirmado de COVID-19 nas últimas 48 horas, devendo-se manter isolamento ou quarentena conforme orientação do serviço de saúde;</w:t>
      </w: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</w: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</w: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>II - utilização de máscaras de proteção facial cobrindo o nariz e a boca por pessoas que possuam fatores de risco para agravamento da COVID-19;</w:t>
      </w: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</w: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</w: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>III - utilização de máscaras de proteção facial cobrindo o nariz e a boca por qualquer pessoa que frequente locais fechados como transporte público, estabelecimentos de saúde e demais locais em que não seja possível manter o distanciamento físico;</w:t>
      </w:r>
    </w:p>
    <w:p w:rsidR="000224CF" w:rsidRDefault="00284029" w:rsidP="000224CF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</w:pP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</w: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>IV - adoção de medidas de higiene e etiqueta respiratória, como higienizar as mãos com álcool 70% ou com água e sabonete líquido com frequência, cobrir o rosto com o antebraço ao tossir ou espirrar e evitar compartilhar objetos de uso pessoal;</w:t>
      </w: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</w: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</w: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>V - distanciamento mínimo de 1,0 m (um metro) entre pessoas ou grupos em todos os ambientes, evitando aglomerações; e</w:t>
      </w:r>
    </w:p>
    <w:p w:rsidR="000224CF" w:rsidRDefault="00284029" w:rsidP="000224CF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</w:pP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</w: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>VI - priorização de ambientes com ventilação natural, com portas e janelas abertas, a fim de assegurar a boa circulação de ar e a ventilação cruzada.</w:t>
      </w: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</w: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</w: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>Parágrafo único. As medidas recomendadas nos incisos do caput deste artigo implicam na desconsideração de qualquer ato ou norma estadual que as torne obrigatórias.</w:t>
      </w:r>
    </w:p>
    <w:p w:rsidR="000224CF" w:rsidRDefault="00284029" w:rsidP="000224CF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</w:pP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</w:r>
      <w:r w:rsidR="000224CF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>Art. 4</w:t>
      </w:r>
      <w:proofErr w:type="gramStart"/>
      <w:r w:rsidR="000224CF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 xml:space="preserve">° </w:t>
      </w: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> Fica</w:t>
      </w:r>
      <w:proofErr w:type="gramEnd"/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 xml:space="preserve"> autorizado, em todo o território estadual, o funcionamento dos serviços públicos e das atividades privadas, inclusive de estabelecimentos que promovam eventos corporativos, feiras de negócios, shows, entretenimento, eventos sociais e esportivos.</w:t>
      </w:r>
    </w:p>
    <w:p w:rsidR="000224CF" w:rsidRDefault="000224CF" w:rsidP="000224CF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  <w:t>Art. 5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 xml:space="preserve">° </w:t>
      </w:r>
      <w:r w:rsidR="00284029"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> A</w:t>
      </w:r>
      <w:proofErr w:type="gramEnd"/>
      <w:r w:rsidR="00284029"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 xml:space="preserve"> SES é o órgão central do Poder Executivo Estadual de coordenação técnica das ações de enfrentamento da COVID-19.</w:t>
      </w:r>
    </w:p>
    <w:p w:rsidR="000224CF" w:rsidRDefault="00284029" w:rsidP="000224CF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</w:pP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</w: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>§ 1º Os órgãos e as entidades da Administração Pública do Poder Executivo Estadual deverão atuar articuladamente com a SES para o fiel cumprimento do disposto neste Decreto.</w:t>
      </w:r>
    </w:p>
    <w:p w:rsidR="000224CF" w:rsidRDefault="00284029" w:rsidP="000224CF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</w:pP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</w: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>§ 2º A articulação de que trata o § 1º deste artigo poderá englobar também a Sociedade Civil, os Poderes Legislativo e Judiciário Estadual, Federal e do Trabalho, o Ministério Público Estadual, Federal e do Trabalho e o Tribunal de Contas do Estado.</w:t>
      </w:r>
    </w:p>
    <w:p w:rsidR="000224CF" w:rsidRDefault="00284029" w:rsidP="000224CF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</w:pP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</w: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>§ 3º A SES poderá manter a divulgação da classificação de cada região de saúde do Estado na matriz de risco epidemiológico-sanitário, conforme os seguintes níveis de risco:</w:t>
      </w:r>
    </w:p>
    <w:p w:rsidR="000224CF" w:rsidRDefault="00284029" w:rsidP="000224CF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</w:pP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 xml:space="preserve">I - </w:t>
      </w:r>
      <w:proofErr w:type="gramStart"/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>risco</w:t>
      </w:r>
      <w:proofErr w:type="gramEnd"/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 xml:space="preserve"> moderado;</w:t>
      </w:r>
    </w:p>
    <w:p w:rsidR="000224CF" w:rsidRDefault="00284029" w:rsidP="000224CF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</w:pP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 xml:space="preserve">II - </w:t>
      </w:r>
      <w:proofErr w:type="gramStart"/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>risco</w:t>
      </w:r>
      <w:proofErr w:type="gramEnd"/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 xml:space="preserve"> alto;</w:t>
      </w:r>
    </w:p>
    <w:p w:rsidR="000224CF" w:rsidRDefault="00284029" w:rsidP="000224CF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</w:pP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>III - risco grave; e</w:t>
      </w:r>
    </w:p>
    <w:p w:rsidR="000224CF" w:rsidRDefault="00284029" w:rsidP="000224CF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</w:pP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 xml:space="preserve">IV - </w:t>
      </w:r>
      <w:proofErr w:type="gramStart"/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>risco</w:t>
      </w:r>
      <w:proofErr w:type="gramEnd"/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 xml:space="preserve"> gravíssimo.</w:t>
      </w:r>
    </w:p>
    <w:p w:rsidR="000224CF" w:rsidRDefault="00284029" w:rsidP="000224CF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</w:pP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</w: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>§ 4º A SES deverá, de acordo com o estágio atual de enfrentamento da COVID-19, estabelecer os critérios técnicos para delimitação de cada um dos níveis de risco previstos nos incisos do § 3º deste artigo.</w:t>
      </w:r>
    </w:p>
    <w:p w:rsidR="000224CF" w:rsidRDefault="000224CF" w:rsidP="000224CF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</w:pPr>
    </w:p>
    <w:p w:rsidR="000224CF" w:rsidRDefault="000224CF" w:rsidP="000224CF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 xml:space="preserve">Art. 6° </w:t>
      </w:r>
      <w:r w:rsidR="00284029"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>Fica mantido o estado de calamidade pública em todo o território estadual, para fins de enfrentamento da COVID-19, até 31 de março de 2022.</w:t>
      </w:r>
      <w:r w:rsidR="00284029" w:rsidRPr="00284029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</w:r>
      <w:r w:rsidR="00284029" w:rsidRPr="00284029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 xml:space="preserve">Art. 7° </w:t>
      </w:r>
      <w:r w:rsidR="00284029"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>Ficam os titulares dos órgãos e das entidades da Administração Pública Direta e Indireta do Poder Executivo Estadual autorizado a expedir atos complementares ao disposto neste Decreto, regulando situações específicas de sua competência.</w:t>
      </w:r>
    </w:p>
    <w:p w:rsidR="000224CF" w:rsidRDefault="000224CF" w:rsidP="000224CF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</w:pPr>
    </w:p>
    <w:p w:rsidR="000224CF" w:rsidRDefault="000224CF" w:rsidP="000224CF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 xml:space="preserve">Art. 8° </w:t>
      </w:r>
      <w:r w:rsidR="00284029"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>Os Municípios do Estado, por meio dos respectivos Prefeitos, poderão estabelecer medidas de enfrentamento mais restritivas do que as previstas neste Decreto, de acordo com a necessidade apresentada.</w:t>
      </w:r>
    </w:p>
    <w:p w:rsidR="000224CF" w:rsidRDefault="00284029" w:rsidP="000224CF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</w:pP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</w:r>
      <w:r w:rsidR="000224CF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 xml:space="preserve">Art. 9º </w:t>
      </w: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>Este Decreto entra em vigor na data de sua publicação.</w:t>
      </w:r>
      <w:r w:rsidR="000224CF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</w:r>
    </w:p>
    <w:p w:rsidR="000224CF" w:rsidRDefault="000224CF" w:rsidP="000224CF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 xml:space="preserve">Art. 10. </w:t>
      </w:r>
      <w:r w:rsidR="00284029"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>Ficam revogados:</w:t>
      </w:r>
    </w:p>
    <w:p w:rsidR="000224CF" w:rsidRDefault="00284029" w:rsidP="000224CF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</w:pP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</w: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</w: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>I - o Decreto nº </w:t>
      </w:r>
      <w:hyperlink r:id="rId5" w:history="1">
        <w:r w:rsidRPr="000224CF">
          <w:rPr>
            <w:rFonts w:ascii="Helvetica" w:eastAsia="Times New Roman" w:hAnsi="Helvetica" w:cs="Helvetica"/>
            <w:color w:val="000000" w:themeColor="text1"/>
            <w:sz w:val="24"/>
            <w:szCs w:val="24"/>
            <w:u w:val="single"/>
            <w:shd w:val="clear" w:color="auto" w:fill="F5F5F5"/>
            <w:lang w:eastAsia="pt-BR"/>
          </w:rPr>
          <w:t>1.371</w:t>
        </w:r>
      </w:hyperlink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>, de 14 de julho de 2021; e</w:t>
      </w:r>
    </w:p>
    <w:p w:rsidR="000224CF" w:rsidRDefault="00284029" w:rsidP="000224CF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</w:pP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</w: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>II - o Decreto nº </w:t>
      </w:r>
      <w:hyperlink r:id="rId6" w:history="1">
        <w:r w:rsidRPr="000224CF">
          <w:rPr>
            <w:rFonts w:ascii="Helvetica" w:eastAsia="Times New Roman" w:hAnsi="Helvetica" w:cs="Helvetica"/>
            <w:color w:val="000000" w:themeColor="text1"/>
            <w:sz w:val="24"/>
            <w:szCs w:val="24"/>
            <w:u w:val="single"/>
            <w:shd w:val="clear" w:color="auto" w:fill="F5F5F5"/>
            <w:lang w:eastAsia="pt-BR"/>
          </w:rPr>
          <w:t>1.769</w:t>
        </w:r>
      </w:hyperlink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>, de 2 de março de 2022.</w:t>
      </w:r>
    </w:p>
    <w:p w:rsidR="000224CF" w:rsidRDefault="00284029" w:rsidP="000224CF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</w:pP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</w: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>Florianópolis, 12 de março de 2022.</w:t>
      </w:r>
    </w:p>
    <w:p w:rsidR="00284029" w:rsidRPr="00284029" w:rsidRDefault="00284029" w:rsidP="000224CF">
      <w:pPr>
        <w:spacing w:after="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</w:pP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</w: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5F5F5"/>
          <w:lang w:eastAsia="pt-BR"/>
        </w:rPr>
        <w:t>CARLOS MOISÉS DA SILVA</w:t>
      </w: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</w:r>
      <w:r w:rsidRPr="00284029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</w:r>
      <w:r w:rsidRPr="00284029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>ERON GIORDANI</w:t>
      </w:r>
      <w:r w:rsidRPr="00284029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284029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284029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>ALISSON DE BOM DE SOUZA</w:t>
      </w:r>
      <w:r w:rsidRPr="00284029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284029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284029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>JORGE EDUARDO TASCA</w:t>
      </w:r>
      <w:r w:rsidRPr="00284029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284029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284029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>PAULO ELI</w:t>
      </w:r>
      <w:r w:rsidRPr="00284029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284029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284029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>ANDRÉ MOTTA RIBEIRO</w:t>
      </w:r>
      <w:r w:rsidRPr="00284029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284029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</w:p>
    <w:p w:rsidR="00E5683D" w:rsidRDefault="00E5683D"/>
    <w:sectPr w:rsidR="00E5683D" w:rsidSect="000224CF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29"/>
    <w:rsid w:val="000224CF"/>
    <w:rsid w:val="00284029"/>
    <w:rsid w:val="00E5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C30B"/>
  <w15:chartTrackingRefBased/>
  <w15:docId w15:val="{8B3E45BE-DBF1-4445-B3DB-9057A1AB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84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84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224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402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8402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284029"/>
  </w:style>
  <w:style w:type="character" w:styleId="Hyperlink">
    <w:name w:val="Hyperlink"/>
    <w:basedOn w:val="Fontepargpadro"/>
    <w:uiPriority w:val="99"/>
    <w:semiHidden/>
    <w:unhideWhenUsed/>
    <w:rsid w:val="002840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8402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0224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24CF"/>
    <w:pPr>
      <w:spacing w:after="200" w:line="276" w:lineRule="auto"/>
      <w:ind w:left="720"/>
      <w:contextualSpacing/>
    </w:pPr>
  </w:style>
  <w:style w:type="paragraph" w:styleId="SemEspaamento">
    <w:name w:val="No Spacing"/>
    <w:uiPriority w:val="1"/>
    <w:qFormat/>
    <w:rsid w:val="000224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isestaduais.com.br/sc/decreto-n-1769-2022-santa-catarina-dispoe-sobre-o-uso-de-mascara-de-protecao-individual-para-a-faixa-etaria-que-menciona-e-altera-o-art-9-do-decreto-n-1371-de-2021" TargetMode="External"/><Relationship Id="rId5" Type="http://schemas.openxmlformats.org/officeDocument/2006/relationships/hyperlink" Target="http://leisestaduais.com.br/sc/decreto-n-1371-2021-santa-catarina-declara-estado-de-calamidade-publica-em-todo-o-territorio-catarinense-nos-termos-do-cobrade-n-1-5-1-1-0-doencas-infecciosas-virais-para-fins-de-enfrentamento-da-pandemia-de-covid-19-e-estabelece-outras-providencias" TargetMode="External"/><Relationship Id="rId4" Type="http://schemas.openxmlformats.org/officeDocument/2006/relationships/hyperlink" Target="http://www.diariomunicipal.sc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985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    </vt:lpstr>
      <vt:lpstr>    DECRETO Nº 1.794, DE 12 DE MARÇO DE 2022.</vt:lpstr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</dc:creator>
  <cp:keywords/>
  <dc:description/>
  <cp:lastModifiedBy>Estela</cp:lastModifiedBy>
  <cp:revision>1</cp:revision>
  <dcterms:created xsi:type="dcterms:W3CDTF">2022-03-14T12:45:00Z</dcterms:created>
  <dcterms:modified xsi:type="dcterms:W3CDTF">2022-03-14T13:12:00Z</dcterms:modified>
</cp:coreProperties>
</file>