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AB" w:rsidRPr="00B874C6" w:rsidRDefault="008266AB" w:rsidP="008266AB">
      <w:pPr>
        <w:spacing w:after="0"/>
        <w:jc w:val="center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TERMO DE </w:t>
      </w:r>
      <w:r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FOMENTO </w:t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Nº </w:t>
      </w:r>
      <w:r w:rsidR="00E85E49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01/2021.</w:t>
      </w:r>
    </w:p>
    <w:p w:rsidR="008266AB" w:rsidRPr="00B874C6" w:rsidRDefault="008266AB" w:rsidP="008266AB">
      <w:pPr>
        <w:spacing w:after="0"/>
        <w:ind w:left="4536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ind w:left="3969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TERMO DE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FOMENTO 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QUE ENTRE SI CELEBRAM O MUNICÍPIO DE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PAPANDUVA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E A ASSOCIAÇÃO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POLONESA DE PAPANDUVA – POLPAN.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ab/>
      </w:r>
    </w:p>
    <w:p w:rsidR="008266AB" w:rsidRPr="002C4E64" w:rsidRDefault="008266AB" w:rsidP="008266AB">
      <w:pPr>
        <w:jc w:val="both"/>
        <w:rPr>
          <w:rFonts w:ascii="Bookman Old Style" w:hAnsi="Bookman Old Style" w:cs="Arial"/>
          <w:sz w:val="24"/>
          <w:szCs w:val="24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O </w:t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MUNICÍPIO DE </w:t>
      </w:r>
      <w:r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PAPANDUVA,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Estado de Santa Catarina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, pessoa jurídica de direito público, inscrito no CNPJ sob nº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83.102.533/0001-01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, com sede na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Rua Sérgio </w:t>
      </w:r>
      <w:proofErr w:type="spellStart"/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Glevinski</w:t>
      </w:r>
      <w:proofErr w:type="spellEnd"/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, 134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,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Centro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,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Papanduva/SC,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neste ato representado pelo </w:t>
      </w:r>
      <w:r w:rsidRPr="002C4E64">
        <w:rPr>
          <w:rFonts w:ascii="Bookman Old Style" w:hAnsi="Bookman Old Style" w:cs="Arial"/>
          <w:sz w:val="24"/>
          <w:szCs w:val="24"/>
        </w:rPr>
        <w:t xml:space="preserve">Excelentíssimo Senhor Prefeito Municipal Senhor </w:t>
      </w:r>
      <w:r w:rsidRPr="00DB09B9">
        <w:rPr>
          <w:rFonts w:ascii="Bookman Old Style" w:hAnsi="Bookman Old Style" w:cs="Arial"/>
          <w:b/>
          <w:sz w:val="24"/>
          <w:szCs w:val="24"/>
        </w:rPr>
        <w:t xml:space="preserve">Luiz Henrique </w:t>
      </w:r>
      <w:proofErr w:type="spellStart"/>
      <w:r w:rsidRPr="00DB09B9">
        <w:rPr>
          <w:rFonts w:ascii="Bookman Old Style" w:hAnsi="Bookman Old Style" w:cs="Arial"/>
          <w:b/>
          <w:sz w:val="24"/>
          <w:szCs w:val="24"/>
        </w:rPr>
        <w:t>Saliba</w:t>
      </w:r>
      <w:proofErr w:type="spellEnd"/>
      <w:r w:rsidRPr="002C4E64">
        <w:rPr>
          <w:rFonts w:ascii="Bookman Old Style" w:hAnsi="Bookman Old Style" w:cs="Arial"/>
          <w:bCs/>
          <w:sz w:val="24"/>
          <w:szCs w:val="24"/>
        </w:rPr>
        <w:t>,</w:t>
      </w:r>
      <w:r w:rsidRPr="002C4E64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2C4E64">
        <w:rPr>
          <w:rFonts w:ascii="Bookman Old Style" w:hAnsi="Bookman Old Style" w:cs="Arial"/>
          <w:sz w:val="24"/>
          <w:szCs w:val="24"/>
        </w:rPr>
        <w:t xml:space="preserve">residente em Papanduva-SC, inscrito no CPF sob n° </w:t>
      </w:r>
      <w:r w:rsidRPr="002C4E64">
        <w:rPr>
          <w:rFonts w:ascii="Bookman Old Style" w:hAnsi="Bookman Old Style"/>
          <w:sz w:val="24"/>
          <w:szCs w:val="24"/>
        </w:rPr>
        <w:t>381.890.039-68</w:t>
      </w:r>
      <w:r w:rsidRPr="002C4E64">
        <w:rPr>
          <w:rFonts w:ascii="Bookman Old Style" w:hAnsi="Bookman Old Style" w:cs="Arial"/>
          <w:sz w:val="24"/>
          <w:szCs w:val="24"/>
        </w:rPr>
        <w:t xml:space="preserve"> e a Associação </w:t>
      </w:r>
      <w:r>
        <w:rPr>
          <w:rFonts w:ascii="Bookman Old Style" w:hAnsi="Bookman Old Style" w:cs="Arial"/>
          <w:sz w:val="24"/>
          <w:szCs w:val="24"/>
        </w:rPr>
        <w:t xml:space="preserve">Polonesa de Papanduva – </w:t>
      </w:r>
      <w:proofErr w:type="spellStart"/>
      <w:r>
        <w:rPr>
          <w:rFonts w:ascii="Bookman Old Style" w:hAnsi="Bookman Old Style" w:cs="Arial"/>
          <w:sz w:val="24"/>
          <w:szCs w:val="24"/>
        </w:rPr>
        <w:t>Polpan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inscrita no CNPJ sob o n. 23.141.919/0001-09, com sede da Praça 11 de Abril, Sala 01, município de Papanduva/SC, neste ato representada pelo seu Presidente senhor </w:t>
      </w:r>
      <w:proofErr w:type="spellStart"/>
      <w:r w:rsidRPr="00DB09B9">
        <w:rPr>
          <w:rFonts w:ascii="Bookman Old Style" w:hAnsi="Bookman Old Style" w:cs="Arial"/>
          <w:b/>
          <w:sz w:val="24"/>
          <w:szCs w:val="24"/>
        </w:rPr>
        <w:t>Alois</w:t>
      </w:r>
      <w:proofErr w:type="spellEnd"/>
      <w:r w:rsidRPr="00DB09B9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B09B9">
        <w:rPr>
          <w:rFonts w:ascii="Bookman Old Style" w:hAnsi="Bookman Old Style" w:cs="Arial"/>
          <w:b/>
          <w:sz w:val="24"/>
          <w:szCs w:val="24"/>
        </w:rPr>
        <w:t>Mikalovicz</w:t>
      </w:r>
      <w:proofErr w:type="spellEnd"/>
      <w:r>
        <w:rPr>
          <w:rFonts w:ascii="Bookman Old Style" w:hAnsi="Bookman Old Style" w:cs="Arial"/>
          <w:sz w:val="24"/>
          <w:szCs w:val="24"/>
        </w:rPr>
        <w:t>, inscrito no CPF sob o n. 292.407.789-34</w:t>
      </w:r>
      <w:r w:rsidRPr="002C4E64">
        <w:rPr>
          <w:rFonts w:ascii="Bookman Old Style" w:hAnsi="Bookman Old Style" w:cs="Arial"/>
          <w:bCs/>
          <w:sz w:val="24"/>
          <w:szCs w:val="24"/>
        </w:rPr>
        <w:t xml:space="preserve">, </w:t>
      </w:r>
      <w:r w:rsidRPr="002C4E64">
        <w:rPr>
          <w:rFonts w:ascii="Bookman Old Style" w:hAnsi="Bookman Old Style" w:cs="Arial"/>
          <w:sz w:val="24"/>
          <w:szCs w:val="24"/>
        </w:rPr>
        <w:t>residen</w:t>
      </w:r>
      <w:r>
        <w:rPr>
          <w:rFonts w:ascii="Bookman Old Style" w:hAnsi="Bookman Old Style" w:cs="Arial"/>
          <w:sz w:val="24"/>
          <w:szCs w:val="24"/>
        </w:rPr>
        <w:t xml:space="preserve">te nesta cidade de Papanduva-SC na Rua Tenente Ary </w:t>
      </w:r>
      <w:proofErr w:type="spellStart"/>
      <w:r>
        <w:rPr>
          <w:rFonts w:ascii="Bookman Old Style" w:hAnsi="Bookman Old Style" w:cs="Arial"/>
          <w:sz w:val="24"/>
          <w:szCs w:val="24"/>
        </w:rPr>
        <w:t>Rauen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n. 98, Praça 11 de Abril, centro,</w:t>
      </w:r>
      <w:r w:rsidRPr="002C4E64">
        <w:rPr>
          <w:rFonts w:ascii="Bookman Old Style" w:hAnsi="Bookman Old Style" w:cs="Arial"/>
          <w:sz w:val="24"/>
          <w:szCs w:val="24"/>
        </w:rPr>
        <w:t xml:space="preserve"> resolvem CELEBRAR o presente </w:t>
      </w:r>
      <w:r>
        <w:rPr>
          <w:rFonts w:ascii="Bookman Old Style" w:hAnsi="Bookman Old Style" w:cs="Arial"/>
          <w:sz w:val="24"/>
          <w:szCs w:val="24"/>
        </w:rPr>
        <w:t>TERMO DE FOMENTO</w:t>
      </w:r>
      <w:r w:rsidRPr="002C4E64">
        <w:rPr>
          <w:rFonts w:ascii="Bookman Old Style" w:hAnsi="Bookman Old Style" w:cs="Arial"/>
          <w:sz w:val="24"/>
          <w:szCs w:val="24"/>
        </w:rPr>
        <w:t>, com base na lei Federal n° 13.019/2014, regulamentada pelo Decreto Municipal n° 2751, de 05 de janeiro de 2018, mediante as seguintes cláusulas: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CLÁUSULA PRIMEIRA – DO OBJETO</w:t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ab/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ab/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ab/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B426F" w:rsidRPr="008B426F" w:rsidRDefault="008266AB" w:rsidP="00DB09B9">
      <w:pPr>
        <w:pStyle w:val="PargrafodaLista"/>
        <w:numPr>
          <w:ilvl w:val="1"/>
          <w:numId w:val="1"/>
        </w:numPr>
        <w:spacing w:after="160"/>
        <w:ind w:left="0" w:firstLine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2C4E64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O presente Termo de Fomento tem por objeto </w:t>
      </w:r>
      <w:r w:rsidR="006C356A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fornecer aos descendentes e simpatizantes da etnia polonesa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aulas de língua polonesa nos meses de setembro de 2021 a maio de 2022, através de profissional enviado da Polônia, cuja carga horária semanal será de </w:t>
      </w:r>
      <w:r w:rsidR="00E85E49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30 horas semanais</w:t>
      </w:r>
      <w:r w:rsidR="008B426F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conforme PLANO DE TRABALHO parte integrante deste Termo de Fomento.</w:t>
      </w:r>
    </w:p>
    <w:p w:rsidR="008266AB" w:rsidRPr="002C4E64" w:rsidRDefault="008266AB" w:rsidP="008266AB">
      <w:pPr>
        <w:pStyle w:val="PargrafodaLista"/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CLÁUSULA SEGUNDA - DAS OBRIGAÇÕES 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2.1 - São obrigações dos Partícipes: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I - DA ADMINISTRAÇÃO PÚBLICA: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a) liberar os recursos por meio de transferência eletrônica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, em conta específica da Entidade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, que guardará consonância com as metas, fases ou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etapas de execução do objeto deste Termo de Fomento.</w:t>
      </w:r>
    </w:p>
    <w:p w:rsidR="008266AB" w:rsidRPr="00B874C6" w:rsidRDefault="006C356A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lastRenderedPageBreak/>
        <w:t>b</w:t>
      </w:r>
      <w:r w:rsidR="008266AB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)</w:t>
      </w:r>
      <w:r w:rsidR="008266AB"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promover o monitoramento e a avaliação do cumprimento do objeto da parceria;</w:t>
      </w:r>
    </w:p>
    <w:p w:rsidR="008266AB" w:rsidRPr="00B874C6" w:rsidRDefault="006C356A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c</w:t>
      </w:r>
      <w:r w:rsidR="008266AB"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)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através da Coordenadoria do Controle Interno </w:t>
      </w:r>
      <w:r w:rsidR="008266AB"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instaurar tomada de contas antes do término da parceria,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para </w:t>
      </w:r>
      <w:r w:rsidR="008266AB"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a constatação de evidências de irregularidades na execução do objeto da parceria.</w:t>
      </w:r>
    </w:p>
    <w:p w:rsidR="008266AB" w:rsidRPr="00B11D13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11D13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II - DA ORGANIZAÇÃO DA SOCIEDADE CIVIL: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a) manter escrituração contábil regular; 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b) prestar contas dos recursos recebidos por meio deste termo de </w:t>
      </w:r>
      <w:r w:rsidR="006C356A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Fomento conforme o Plano de Trabalho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; 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c)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d) manter e movimentar os recursos na conta bancária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especí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fica observado o disposto no art. 51 da Lei nº 13.019/2014; 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e) dar livre acesso dos servidores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do município,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f) responder exclusivamente pelo gerenciamento administrativo e financeiro dos recursos recebidos, inclusive no que diz respeito às despesas </w:t>
      </w:r>
      <w:r w:rsidR="006C356A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com o profissional cedido para a finalidade desta parceria.</w:t>
      </w:r>
    </w:p>
    <w:p w:rsidR="008266AB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g)  disponibilizar ao cidadão, na sua página na internet ou, na falta desta, em sua sede, consulta ao extrato deste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Termo de Fomento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, contendo, pelo menos, o objeto, a finalidade e o detalha</w:t>
      </w:r>
      <w:r w:rsidR="00DB09B9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mento da aplicação dos recursos.</w:t>
      </w:r>
    </w:p>
    <w:p w:rsidR="008266AB" w:rsidRDefault="006C356A" w:rsidP="008266AB">
      <w:pPr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h</w:t>
      </w:r>
      <w:r w:rsidR="008266AB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) apresentar os documentos necessários à prestação de contas conforme </w:t>
      </w:r>
      <w:r w:rsidR="008266AB" w:rsidRPr="00C328A0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Decreto Municipal n° </w:t>
      </w:r>
      <w:r w:rsidR="008266AB" w:rsidRPr="00C328A0">
        <w:rPr>
          <w:rFonts w:ascii="Bookman Old Style" w:hAnsi="Bookman Old Style" w:cs="Arial"/>
          <w:sz w:val="24"/>
          <w:szCs w:val="24"/>
        </w:rPr>
        <w:t>2751, de 05 de janeiro de 2018, bem como no Manual</w:t>
      </w:r>
      <w:r w:rsidR="008266AB" w:rsidRPr="00C328A0">
        <w:rPr>
          <w:rFonts w:ascii="Bookman Old Style" w:hAnsi="Bookman Old Style" w:cs="Arial"/>
          <w:color w:val="000000"/>
          <w:sz w:val="24"/>
          <w:szCs w:val="24"/>
        </w:rPr>
        <w:t xml:space="preserve"> de Orientação para Formalização de Repasses Públicos ao Terceiro Setor</w:t>
      </w:r>
      <w:r w:rsidR="008266AB">
        <w:rPr>
          <w:rFonts w:ascii="Bookman Old Style" w:hAnsi="Bookman Old Style" w:cs="Arial"/>
          <w:color w:val="000000"/>
          <w:sz w:val="24"/>
          <w:szCs w:val="24"/>
        </w:rPr>
        <w:t>, aprovado pelo</w:t>
      </w:r>
      <w:r w:rsidR="008266AB" w:rsidRPr="00C328A0">
        <w:rPr>
          <w:rFonts w:ascii="Bookman Old Style" w:hAnsi="Bookman Old Style" w:cs="Arial"/>
          <w:sz w:val="24"/>
          <w:szCs w:val="24"/>
        </w:rPr>
        <w:t xml:space="preserve"> </w:t>
      </w:r>
      <w:r w:rsidR="008266AB" w:rsidRPr="00C328A0">
        <w:rPr>
          <w:rFonts w:ascii="Bookman Old Style" w:hAnsi="Bookman Old Style" w:cs="Bookman Old Style"/>
          <w:bCs/>
          <w:sz w:val="24"/>
          <w:szCs w:val="24"/>
        </w:rPr>
        <w:t>Decreto n°</w:t>
      </w:r>
      <w:r w:rsidR="00DB09B9">
        <w:rPr>
          <w:rFonts w:ascii="Bookman Old Style" w:hAnsi="Bookman Old Style" w:cs="Bookman Old Style"/>
          <w:bCs/>
          <w:sz w:val="24"/>
          <w:szCs w:val="24"/>
        </w:rPr>
        <w:t xml:space="preserve"> 2759, de 18 de janeiro de 2018.</w:t>
      </w:r>
    </w:p>
    <w:p w:rsidR="00DB09B9" w:rsidRPr="00C328A0" w:rsidRDefault="00DB09B9" w:rsidP="008266AB">
      <w:pPr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i) cumprir com o objeto de Plano de Trabalho em sua íntegra.</w:t>
      </w: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CLÁUSULA TERCEIRA – </w:t>
      </w:r>
      <w:r w:rsidRPr="00B874C6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DOS RECURSOS FINANCEIROS</w:t>
      </w: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</w:p>
    <w:p w:rsidR="008266AB" w:rsidRDefault="008266AB" w:rsidP="008266AB">
      <w:pPr>
        <w:suppressAutoHyphens/>
        <w:spacing w:after="2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lastRenderedPageBreak/>
        <w:t xml:space="preserve">3.1 - Para a execução do convênio, a ADMINISTRAÇÃO PÚBLICA transferirá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à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ORGANIZAÇÃO DA SOCIEDADE CIVIL,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C356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POLPAN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de Papanduva, mediante depó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sito na conta bancária de titularidade da </w:t>
      </w:r>
      <w:r w:rsidR="006C356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Associação Polonesa de Papanduva - POLPAN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, no montante de </w:t>
      </w:r>
      <w:r w:rsidR="006C356A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R$ 30.000,00 </w:t>
      </w:r>
      <w:r w:rsidR="006C356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(trinta mil reais), divididos em 09(nove) parcelas mensais e iguais de </w:t>
      </w:r>
      <w:r w:rsidR="006C356A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R$ 3.333,33 </w:t>
      </w:r>
      <w:r w:rsidR="006C356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(três mil, trezentos e trinta e três reais e trinta e três centavos)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a contar de </w:t>
      </w:r>
      <w:r w:rsidR="006C356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setembro de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2021, correndo as despesas à conta de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Dotaç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ões próprias do Orçamento vigente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, cujo repasse das parcelas, após o primeiro pagamento, está sujeito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à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prestação de contas mensal dos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recursos, conforme o Decreto Municipal 2751, de 05.01.2018 que regulamentou a Lei Federal 13.019/2014 e Decreto n° 2759, de 18.01.2018 que aprovou o Manual de Orientação para Formalização de Repasses Públicos ao Terceiro Setor.</w:t>
      </w:r>
    </w:p>
    <w:p w:rsidR="008266AB" w:rsidRPr="00E11DBB" w:rsidRDefault="008266AB" w:rsidP="008266AB">
      <w:pPr>
        <w:pStyle w:val="SemEspaamento"/>
        <w:jc w:val="both"/>
        <w:rPr>
          <w:rFonts w:ascii="Bookman Old Style" w:eastAsia="Times New Roman" w:hAnsi="Bookman Old Style"/>
          <w:b/>
          <w:sz w:val="24"/>
          <w:szCs w:val="24"/>
          <w:shd w:val="clear" w:color="auto" w:fill="FFFFFF"/>
        </w:rPr>
      </w:pPr>
      <w:r w:rsidRPr="00E170E6">
        <w:rPr>
          <w:rFonts w:ascii="Bookman Old Style" w:eastAsia="Times New Roman" w:hAnsi="Bookman Old Style"/>
          <w:sz w:val="24"/>
          <w:szCs w:val="24"/>
          <w:shd w:val="clear" w:color="auto" w:fill="FFFFFF"/>
        </w:rPr>
        <w:t xml:space="preserve">3.2 – Os valores deverão ser depositados </w:t>
      </w:r>
      <w:r w:rsidR="00E85E49">
        <w:rPr>
          <w:rFonts w:ascii="Bookman Old Style" w:eastAsia="Times New Roman" w:hAnsi="Bookman Old Style"/>
          <w:sz w:val="24"/>
          <w:szCs w:val="24"/>
          <w:shd w:val="clear" w:color="auto" w:fill="FFFFFF"/>
        </w:rPr>
        <w:t>em</w:t>
      </w:r>
      <w:r w:rsidRPr="00E170E6">
        <w:rPr>
          <w:rFonts w:ascii="Bookman Old Style" w:eastAsia="Times New Roman" w:hAnsi="Bookman Old Style"/>
          <w:sz w:val="24"/>
          <w:szCs w:val="24"/>
          <w:shd w:val="clear" w:color="auto" w:fill="FFFFFF"/>
        </w:rPr>
        <w:t xml:space="preserve"> conta bancária</w:t>
      </w:r>
      <w:r w:rsidR="00E85E49">
        <w:rPr>
          <w:rFonts w:ascii="Bookman Old Style" w:eastAsia="Times New Roman" w:hAnsi="Bookman Old Style"/>
          <w:sz w:val="24"/>
          <w:szCs w:val="24"/>
          <w:shd w:val="clear" w:color="auto" w:fill="FFFFFF"/>
        </w:rPr>
        <w:t xml:space="preserve"> específica para esta finalidade.</w:t>
      </w:r>
    </w:p>
    <w:p w:rsidR="008266AB" w:rsidRDefault="008266AB" w:rsidP="008266AB">
      <w:pPr>
        <w:pStyle w:val="SemEspaamento"/>
        <w:jc w:val="both"/>
        <w:rPr>
          <w:rFonts w:ascii="Bookman Old Style" w:eastAsia="Times New Roman" w:hAnsi="Bookman Old Style"/>
          <w:sz w:val="24"/>
          <w:szCs w:val="24"/>
          <w:shd w:val="clear" w:color="auto" w:fill="FFFFFF"/>
        </w:rPr>
      </w:pPr>
    </w:p>
    <w:p w:rsidR="008266AB" w:rsidRPr="00E170E6" w:rsidRDefault="008266AB" w:rsidP="008266AB">
      <w:pPr>
        <w:pStyle w:val="SemEspaamento"/>
        <w:rPr>
          <w:rFonts w:ascii="Bookman Old Style" w:eastAsia="Times New Roman" w:hAnsi="Bookman Old Style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CLÁUSULA QUARTA - DA TRANSFERÊNCIA E APLICAÇÃO DOS RECURSOS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4.1 - A ADMINISTRAÇÃO PÚBLICA transferirá os recursos em favor da ORGANIZAÇÃO DA SOCIEDADE CIVIL, me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diante transferência eletrônica.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4.2 - É obrigatória a aplicação dos recursos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no objeto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deste Termo de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Fomento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, enquanto não utilizados, em caderneta de poupança de instituição financeira oficial, se a previsão do seu uso for igual ou superior a um mês; ou em fundo de aplicação financeira de curto prazo, ou operação de mercado aberto lastreada em título da dívida pública federal, quando sua utilização estiver prevista para prazos menores.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4.3 - Os rendimentos das aplicações financeiras serão, obrigatoriamente, aplicados no objeto do 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termo de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fomento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ou devolvidos ao final, estando sujeitos às mesmas condições de prestação de contas exigidos para os recursos transferidos.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4.5 - As parcelas dos recursos transferidos no âmbito da parceria não serão liberadas e ficarão retidas nos seguintes casos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lastRenderedPageBreak/>
        <w:t xml:space="preserve">I - </w:t>
      </w:r>
      <w:proofErr w:type="gram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quando</w:t>
      </w:r>
      <w:proofErr w:type="gram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houver evidências de irregularidade na aplicação de parcela anteriormente recebida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 - </w:t>
      </w:r>
      <w:proofErr w:type="gram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quando</w:t>
      </w:r>
      <w:proofErr w:type="gram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constatado desvio de finalidade na aplicação dos recursos ou o inadimplemento da organização da sociedade civil em relação a obrigações estabelecidas no termo de colaboração ou de fomento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III-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quando a organização da sociedade civil deixar de adotar sem justificativa suficiente as medidas saneadoras apontadas pela administração pública ou pelos órgãos de controle interno ou externo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.</w:t>
      </w: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4.6 -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sob pena de imediata instauração de tomada de contas especial do responsável, providenciada pela autoridade competente da administração pública.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CLÁUSULA QUINTA - DA EXECUÇÃO DAS DESPESAS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5.1 – O presente termo de </w:t>
      </w:r>
      <w:r w:rsidR="00FA4C39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Fomento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5.2 - Fica expressamente vedada a utilização dos recursos transferidos, sob pena de nulidade do ato e responsabilidade do agente ou representante da ORGANIZAÇÃO DA SOCIEDADE CIVIL, para: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realização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de despesas a título de taxa de administração, de gerência ou similar;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finalidade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diversa da estabelecida neste instrumento, ainda que em caráter de emergência;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III - realização de despesas em data anterior ou posterior à sua vigência;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IV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realização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de despesas com taxas bancárias, com multas, juros ou correção monetária, inclusive, referentes a pagamentos ou recolhimentos fora dos prazos;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lastRenderedPageBreak/>
        <w:t xml:space="preserve">V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realização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de despesas com publicidade, salvo as de caráter educativo, informativo ou de orientação social, das quais não constem nomes, símbolos ou imagens que caracterizem promoção pessoal de autoridades ou servidores públicos; e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VI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repasses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como contribuições, auxílios ou subvenções às instituições privadas com fins lucrativos;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CLÁUSULA SEXTA - DA VIGÊNCIA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6.1 - O presente Termo de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Fomento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vigerá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a partir da data da assinatura, com efeitos retroativos a contar de 1º de </w:t>
      </w:r>
      <w:r w:rsidR="00FA4C39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setembro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de 2021 </w:t>
      </w:r>
      <w:r w:rsidR="00FA4C39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até 31 de maio de 2022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, conforme prazo previsto no anexo Plano de Trabalho para a consecução de seu objeto. 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CLÁUSULA SÉTIMA – DO MONITORAMENTO, DO ACOMPANHAMENTO E DA FISCALIZAÇÃO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7.1 - O relatório técnico a que se refere o art. 59 da Lei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n.º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13.019/2014, sem prejuízo de outros elementos, deverá conter: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descrição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sumária das atividades e metas estabelecidas;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análise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das atividades realizadas, do cumprimento das metas e do impacto do benefício social obtido em razão da execução do objeto até o período, com base nos indicadores estabelecidos e aprovados no plano de trabalho;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III - valores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efetivamente  transferidos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 pela administração  pública;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IV - </w:t>
      </w:r>
      <w:proofErr w:type="gram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análise</w:t>
      </w:r>
      <w:proofErr w:type="gram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dos documentos comprobatórios das despesas apresentados pela organização da sociedade civil na prestação de contas, quando não for comprovado o alcance das metas e resultados estabelecidos no respectivo termo de colaboração ou de fomento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;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CLÁUSULA OITAVA - DA PRESTAÇÃO DE CONTAS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uppressAutoHyphens/>
        <w:spacing w:after="2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de acordo com os Decretos </w:t>
      </w:r>
      <w:proofErr w:type="spellStart"/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n°s</w:t>
      </w:r>
      <w:proofErr w:type="spellEnd"/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2751, de 05.01.2018 que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lastRenderedPageBreak/>
        <w:t>regulamentou a Lei Federal 13.019/2014 2759, de 18.01.2018 que aprovou o Manual de Orientação para Formalização de Repasses Públicos ao Terceiro Setor.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8.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2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Parágrafo único. O transcurso do prazo definido nos termos do </w:t>
      </w:r>
      <w:r w:rsidRPr="00E11DBB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caput s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em que as contas tenham sido apreciadas: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não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significa impossibilidade de apreciação em data posterior ou vedação a que se adotem medidas saneadoras, punitivas ou destinadas a ressarcir danos que possam ter sido causados aos cofres públicos;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 - </w:t>
      </w:r>
      <w:proofErr w:type="gram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nos</w:t>
      </w:r>
      <w:proofErr w:type="gram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8.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3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- As prestações de contas serão avaliadas: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 - </w:t>
      </w:r>
      <w:proofErr w:type="gram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regulares</w:t>
      </w:r>
      <w:proofErr w:type="gram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, quando expressarem, de forma clara e objetiva, o cumprimento dos objetivos e metas estabelecidos no plano de trabalho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 - </w:t>
      </w:r>
      <w:proofErr w:type="gram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regulares</w:t>
      </w:r>
      <w:proofErr w:type="gram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com ressalva, quando evidenciarem impropriedade ou qualquer outra falta de natureza formal que não resulte em </w:t>
      </w:r>
      <w:proofErr w:type="spell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dano</w:t>
      </w:r>
      <w:proofErr w:type="spell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ao erário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III 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irregulares, quando comprovada qualquer das seguintes circunstâncias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a)</w:t>
      </w:r>
      <w:r w:rsidRPr="00B874C6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omissão no dever de prestar contas;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b) descumprimento injustificado dos objetivos e metas estabelecidos no plano de trabalho;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dano</w:t>
      </w:r>
      <w:proofErr w:type="spell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ao erário decorrente de ato de gestão ilegítimo ou antieconômico;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d) desfalque ou desvio de dinheiro, bens ou valores públicos.</w:t>
      </w: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8.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4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O administrador público responde pela decisão sobre a aprovação da prestação de contas ou por omissão em relação à análise de seu conteúdo, levando em consideração, no primeiro caso, os pareceres técnico, financeiro e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lastRenderedPageBreak/>
        <w:t>jurídico, sendo permitida delegação a autoridades diretamente subordinadas, vedada a subdelegação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8.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5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8.6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- Durante o prazo de 10 (dez) anos, contado do dia útil subsequente ao da prestação de contas, a organização da sociedade civil deve manter em seu arquivo os documentos originais que compõem a prestação de contas.</w:t>
      </w: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CLÁUSULA NONA - DAS ALTERAÇÕES</w:t>
      </w:r>
    </w:p>
    <w:p w:rsidR="008266AB" w:rsidRPr="00B874C6" w:rsidRDefault="008266AB" w:rsidP="008266AB">
      <w:pPr>
        <w:suppressAutoHyphens/>
        <w:spacing w:after="0"/>
        <w:ind w:left="3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9.1 – A presente parceria poderá ser alterada a qualquer tempo, mediante assinatura de termo aditivo, devendo a solicitação ser encaminhada com antecedência mínima de 30 (trinta) dias em relação à data de término de sua vigência.</w:t>
      </w: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9.2 - Não é permitida a celebração de aditamento deste Termo de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Fomento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com alteração da natureza do objeto.</w:t>
      </w: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uppressAutoHyphens/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9.3 – É obrigatório o aditamento do presente instrumento, quando se fizer necessária a efetivação de alterações que tenham por objetivo a mudança de valor, das metas, do prazo de vigência ou a utilização de recursos remanescentes do saldo do Termo de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Fomento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CLÁUSULA DÉCIMA – DAS RESPONSABILIZAÇÕES E DAS SANÇÕES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10.1 - Pela execução da parceria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advertência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II- </w:t>
      </w:r>
      <w:proofErr w:type="gramStart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suspensão</w:t>
      </w:r>
      <w:proofErr w:type="gramEnd"/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temporária da participação em chamamento público e impedimento de celebrar parceria ou contrato com órgãos e entidades da esfera de governo da administração pública sancionadora, por prazo não superior a dois anos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;</w:t>
      </w:r>
    </w:p>
    <w:p w:rsidR="008266AB" w:rsidRPr="00B874C6" w:rsidRDefault="008266AB" w:rsidP="008266AB">
      <w:pPr>
        <w:spacing w:after="16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III 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Parágrafo único.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As sanções estabelecidas nos incisos II e III são de competência exclusiva do Prefeito Municipal, facultada a defesa do interessado no respectivo processo, no prazo de dez dias da abertura de vista, podendo a reabilitação ser requerida após dois anos de aplicação da penalidade.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10.2 -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Prescreve em cinco anos, contados a partir da data da apresentação da prestação de contas, a aplicação de penalidade decorrente de infração relacionada à execução da parceria.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10.3 - </w:t>
      </w:r>
      <w:r w:rsidRPr="00B874C6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A prescrição será interrompida com a edição de ato administrativo voltado à apuração da infração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.</w:t>
      </w: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CLÁUSULA DÉCIMA </w:t>
      </w:r>
      <w:r w:rsidR="00163D2C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PRIMEIRA</w:t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 - DA DENÚNCIA E DA RESCISÃO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12.1 - O presente termo de colaboração poderá ser: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denunciado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a qualquer tempo, ficando os partícipes responsáveis somente pelas obrigações e auferindo as vantagens do tempo em que participaram voluntariamente da avença, respeitado o prazo mínimo de 60 (sessenta) dias de antecedência para a publicidade dessa intenção;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II - </w:t>
      </w:r>
      <w:proofErr w:type="gramStart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rescindido</w:t>
      </w:r>
      <w:proofErr w:type="gramEnd"/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, independente de prévia notificação ou interpelação judicial ou extrajudicial, nas seguintes hipóteses: 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lastRenderedPageBreak/>
        <w:t xml:space="preserve">a) utilização dos recursos em desacordo com o Plano de Trabalho; 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b) inadimplemento de quaisquer das cláusulas pactuadas; 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c) constatação, a qualquer tempo, de falsidade ou incorreção em qualquer documento apresentado; e 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d) verificação da ocorrência de qualquer circunstância que enseje a instauração de Tomada de Contas Especial. 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CLÁUSULA DÉCIMA </w:t>
      </w:r>
      <w:r w:rsidR="00163D2C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SEGUNDA</w:t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 - DA PUBLICIDADE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13.1 - A eficácia do presente termo de colaboração ou dos aditamentos que impliquem em alteração ou ampliação da execução do objeto descrito neste instrumento, fica condicionada à publicação do respectivo extrato no veículo oficial do Município, a qual deverá ser providenciada no prazo de até 20 (vinte) dias a contar da respectiva assinatura.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CLÁUSULA DÉCIMA </w:t>
      </w:r>
      <w:r w:rsidR="00163D2C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TERCEIRA</w:t>
      </w: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 xml:space="preserve"> - DO FORO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15.1 - Será competente para dirimir as controvérsias decorrentes deste termo de colaboração/termo de fomento, que não possam ser resolvidas pela via administrativa, o foro da Comarca de P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apanduva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/SC, com renúncia expressa a outros, por mais privilegiados que forem.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15.2 - E, por assim estarem plenamente de acordo, os partícipes obrigam-se ao total e irrenunciável cumprimento dos termos do presente instrumento, o qual lido e achado conforme, foi lavrado em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3 (três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) vias de igual teor e forma.</w:t>
      </w:r>
    </w:p>
    <w:p w:rsidR="008266AB" w:rsidRDefault="008266AB" w:rsidP="008266AB">
      <w:pPr>
        <w:spacing w:after="0"/>
        <w:jc w:val="center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Papanduva</w:t>
      </w:r>
      <w:r w:rsidRPr="00B874C6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, </w:t>
      </w:r>
      <w:r w:rsidR="00163D2C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30 de agosto de 2021.</w:t>
      </w:r>
    </w:p>
    <w:p w:rsidR="008266AB" w:rsidRDefault="008266AB" w:rsidP="008266AB">
      <w:pPr>
        <w:spacing w:after="0"/>
        <w:jc w:val="right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Pr="00B874C6" w:rsidRDefault="008266AB" w:rsidP="008266AB">
      <w:pPr>
        <w:spacing w:after="0"/>
        <w:jc w:val="right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Luiz Henrique </w:t>
      </w:r>
      <w:proofErr w:type="spellStart"/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Saliba</w:t>
      </w:r>
      <w:proofErr w:type="spellEnd"/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                                          </w:t>
      </w:r>
      <w:proofErr w:type="spellStart"/>
      <w:r w:rsidR="00163D2C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Alois</w:t>
      </w:r>
      <w:proofErr w:type="spellEnd"/>
      <w:r w:rsidR="00163D2C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163D2C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Michalovicz</w:t>
      </w:r>
      <w:proofErr w:type="spellEnd"/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Prefeito Municipal                                             Presidente da </w:t>
      </w:r>
      <w:r w:rsidR="00163D2C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POLPAN</w:t>
      </w:r>
    </w:p>
    <w:p w:rsidR="008266AB" w:rsidRPr="00B874C6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  <w:r w:rsidRPr="00B874C6"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  <w:t>Testemunhas:</w:t>
      </w: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b/>
          <w:color w:val="00000A"/>
          <w:sz w:val="24"/>
          <w:szCs w:val="24"/>
          <w:shd w:val="clear" w:color="auto" w:fill="FFFFFF"/>
        </w:rPr>
      </w:pPr>
    </w:p>
    <w:p w:rsidR="008266AB" w:rsidRDefault="008266AB" w:rsidP="008266AB">
      <w:pPr>
        <w:spacing w:after="0"/>
        <w:jc w:val="both"/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</w:pPr>
      <w:r w:rsidRPr="00E11DBB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José </w:t>
      </w:r>
      <w:proofErr w:type="spellStart"/>
      <w:r w:rsidRPr="00E11DBB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Ratochinski</w:t>
      </w:r>
      <w:proofErr w:type="spellEnd"/>
      <w:r w:rsidRPr="00E11DBB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Filho                                   </w:t>
      </w: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 </w:t>
      </w:r>
      <w:r w:rsidR="00E85E49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Tiago </w:t>
      </w:r>
      <w:proofErr w:type="spellStart"/>
      <w:r w:rsidR="00E85E49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Martinhuk</w:t>
      </w:r>
      <w:bookmarkStart w:id="0" w:name="_GoBack"/>
      <w:bookmarkEnd w:id="0"/>
      <w:proofErr w:type="spellEnd"/>
    </w:p>
    <w:p w:rsidR="0056178B" w:rsidRDefault="008266AB" w:rsidP="00163D2C">
      <w:pPr>
        <w:spacing w:after="0"/>
        <w:jc w:val="both"/>
      </w:pPr>
      <w:r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CPF: 722.350.479-04                                      CPF: </w:t>
      </w:r>
      <w:r w:rsidR="00E85E49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>008.726.189-86</w:t>
      </w:r>
      <w:r w:rsidRPr="00E11DBB">
        <w:rPr>
          <w:rFonts w:ascii="Bookman Old Style" w:eastAsia="Times New Roman" w:hAnsi="Bookman Old Style" w:cs="Times New Roman"/>
          <w:color w:val="00000A"/>
          <w:sz w:val="24"/>
          <w:szCs w:val="24"/>
          <w:shd w:val="clear" w:color="auto" w:fill="FFFFFF"/>
        </w:rPr>
        <w:t xml:space="preserve">                             </w:t>
      </w:r>
    </w:p>
    <w:sectPr w:rsidR="0056178B" w:rsidSect="00B874C6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72"/>
    <w:multiLevelType w:val="multilevel"/>
    <w:tmpl w:val="5E82FD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AB"/>
    <w:rsid w:val="00163D2C"/>
    <w:rsid w:val="0056178B"/>
    <w:rsid w:val="006C356A"/>
    <w:rsid w:val="008266AB"/>
    <w:rsid w:val="008B426F"/>
    <w:rsid w:val="00DB09B9"/>
    <w:rsid w:val="00E85E49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4D9D"/>
  <w15:chartTrackingRefBased/>
  <w15:docId w15:val="{14F5B58E-55B8-4442-861F-5DC3F81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6AB"/>
    <w:pPr>
      <w:ind w:left="720"/>
      <w:contextualSpacing/>
    </w:pPr>
  </w:style>
  <w:style w:type="paragraph" w:styleId="SemEspaamento">
    <w:name w:val="No Spacing"/>
    <w:uiPriority w:val="1"/>
    <w:qFormat/>
    <w:rsid w:val="008266AB"/>
    <w:pPr>
      <w:spacing w:after="0" w:line="240" w:lineRule="auto"/>
    </w:pPr>
    <w:rPr>
      <w:rFonts w:eastAsiaTheme="minorEastAsia"/>
      <w:lang w:eastAsia="pt-BR"/>
    </w:rPr>
  </w:style>
  <w:style w:type="character" w:customStyle="1" w:styleId="apple-style-span">
    <w:name w:val="apple-style-span"/>
    <w:basedOn w:val="Fontepargpadro"/>
    <w:rsid w:val="0082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2594</Words>
  <Characters>14010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5</cp:revision>
  <dcterms:created xsi:type="dcterms:W3CDTF">2021-08-30T11:55:00Z</dcterms:created>
  <dcterms:modified xsi:type="dcterms:W3CDTF">2021-08-31T13:09:00Z</dcterms:modified>
</cp:coreProperties>
</file>